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0BF184" w14:textId="77777777" w:rsidR="00124F9A" w:rsidRPr="00FE3216" w:rsidRDefault="00FE3216" w:rsidP="00790F6F">
      <w:pPr>
        <w:tabs>
          <w:tab w:val="left" w:pos="180"/>
        </w:tabs>
        <w:spacing w:line="276" w:lineRule="auto"/>
        <w:jc w:val="center"/>
        <w:rPr>
          <w:rFonts w:ascii="Century Gothic" w:eastAsia="Times New Roman" w:hAnsi="Century Gothic"/>
          <w:b/>
          <w:sz w:val="36"/>
          <w:szCs w:val="36"/>
          <w:u w:val="single"/>
        </w:rPr>
      </w:pPr>
      <w:r>
        <w:rPr>
          <w:rFonts w:ascii="Century Gothic" w:eastAsia="Times New Roman" w:hAnsi="Century Gothic"/>
          <w:b/>
          <w:sz w:val="36"/>
          <w:szCs w:val="36"/>
          <w:u w:val="single"/>
        </w:rPr>
        <w:t>I</w:t>
      </w:r>
      <w:bookmarkStart w:id="0" w:name="_GoBack"/>
      <w:bookmarkEnd w:id="0"/>
      <w:r w:rsidRPr="00FE3216">
        <w:rPr>
          <w:rFonts w:ascii="Century Gothic" w:eastAsia="Times New Roman" w:hAnsi="Century Gothic"/>
          <w:b/>
          <w:sz w:val="36"/>
          <w:szCs w:val="36"/>
          <w:u w:val="single"/>
        </w:rPr>
        <w:t>NSTALLMENT PURCHASE AGREEMENT TERM SHEET</w:t>
      </w:r>
    </w:p>
    <w:p w14:paraId="263D19A0" w14:textId="77777777" w:rsidR="00124F9A" w:rsidRPr="00790F6F" w:rsidRDefault="00124F9A" w:rsidP="00790F6F">
      <w:pPr>
        <w:tabs>
          <w:tab w:val="left" w:pos="180"/>
        </w:tabs>
        <w:spacing w:line="276" w:lineRule="auto"/>
        <w:rPr>
          <w:rFonts w:ascii="Century Gothic" w:eastAsia="Times New Roman" w:hAnsi="Century Gothic"/>
          <w:sz w:val="36"/>
          <w:szCs w:val="36"/>
        </w:rPr>
      </w:pPr>
    </w:p>
    <w:p w14:paraId="372B4F26" w14:textId="2051D412" w:rsidR="00124F9A" w:rsidRPr="00790F6F" w:rsidRDefault="00FE3216" w:rsidP="00790F6F">
      <w:pPr>
        <w:tabs>
          <w:tab w:val="left" w:pos="180"/>
        </w:tabs>
        <w:spacing w:line="276" w:lineRule="auto"/>
        <w:rPr>
          <w:rFonts w:ascii="Century Gothic" w:eastAsia="Times New Roman" w:hAnsi="Century Gothic"/>
          <w:sz w:val="24"/>
          <w:szCs w:val="22"/>
        </w:rPr>
      </w:pPr>
      <w:r w:rsidRPr="00FE3216">
        <w:rPr>
          <w:rFonts w:ascii="Century Gothic" w:eastAsia="Times New Roman" w:hAnsi="Century Gothic"/>
          <w:sz w:val="24"/>
          <w:szCs w:val="22"/>
        </w:rPr>
        <w:t>Please accept this Term Sheet as confirmation of PNC Bank’s interest in providing financing to the Town for the below-referenced Purpose, based on the terms and conditions contained herein.</w:t>
      </w:r>
    </w:p>
    <w:p w14:paraId="13883C49" w14:textId="77777777" w:rsidR="009245A0" w:rsidRPr="00FE3216" w:rsidRDefault="00FE3216" w:rsidP="00790F6F">
      <w:pPr>
        <w:tabs>
          <w:tab w:val="left" w:pos="180"/>
          <w:tab w:val="left" w:pos="36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Borrower:</w:t>
      </w:r>
      <w:r w:rsidRPr="00FE3216">
        <w:rPr>
          <w:rFonts w:ascii="Century Gothic" w:eastAsia="Times New Roman" w:hAnsi="Century Gothic"/>
          <w:sz w:val="28"/>
          <w:szCs w:val="28"/>
        </w:rPr>
        <w:tab/>
      </w:r>
    </w:p>
    <w:p w14:paraId="6C7D85A6" w14:textId="77777777" w:rsidR="00124F9A" w:rsidRPr="00FE3216" w:rsidRDefault="00FE3216" w:rsidP="00790F6F">
      <w:pPr>
        <w:tabs>
          <w:tab w:val="left" w:pos="180"/>
          <w:tab w:val="left" w:pos="36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Town of Wake Forest (“Borrower” or “Town”)</w:t>
      </w:r>
    </w:p>
    <w:p w14:paraId="267D15EF" w14:textId="77777777" w:rsidR="00124F9A" w:rsidRPr="00FE3216" w:rsidRDefault="00124F9A" w:rsidP="00790F6F">
      <w:pPr>
        <w:tabs>
          <w:tab w:val="left" w:pos="180"/>
        </w:tabs>
        <w:spacing w:line="276" w:lineRule="auto"/>
        <w:rPr>
          <w:rFonts w:ascii="Century Gothic" w:eastAsia="Times New Roman" w:hAnsi="Century Gothic"/>
        </w:rPr>
      </w:pPr>
    </w:p>
    <w:p w14:paraId="27BF4991"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Lender:</w:t>
      </w:r>
      <w:r w:rsidRPr="00FE3216">
        <w:rPr>
          <w:rFonts w:ascii="Century Gothic" w:eastAsia="Times New Roman" w:hAnsi="Century Gothic"/>
          <w:sz w:val="28"/>
          <w:szCs w:val="28"/>
        </w:rPr>
        <w:tab/>
      </w:r>
    </w:p>
    <w:p w14:paraId="70760E0C"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PNC Bank, National Association (“Bank”)</w:t>
      </w:r>
    </w:p>
    <w:p w14:paraId="7C05E269" w14:textId="77777777" w:rsidR="00124F9A" w:rsidRPr="00FE3216" w:rsidRDefault="00124F9A" w:rsidP="00790F6F">
      <w:pPr>
        <w:tabs>
          <w:tab w:val="left" w:pos="180"/>
        </w:tabs>
        <w:spacing w:line="276" w:lineRule="auto"/>
        <w:rPr>
          <w:rFonts w:ascii="Century Gothic" w:eastAsia="Times New Roman" w:hAnsi="Century Gothic"/>
        </w:rPr>
      </w:pPr>
    </w:p>
    <w:p w14:paraId="08CBC052" w14:textId="77777777" w:rsidR="009245A0" w:rsidRPr="00FE3216" w:rsidRDefault="00FE3216" w:rsidP="00790F6F">
      <w:pPr>
        <w:tabs>
          <w:tab w:val="left" w:pos="180"/>
        </w:tabs>
        <w:spacing w:line="276" w:lineRule="auto"/>
        <w:rPr>
          <w:rFonts w:ascii="Century Gothic" w:eastAsia="Times New Roman" w:hAnsi="Century Gothic"/>
          <w:b/>
          <w:sz w:val="28"/>
          <w:szCs w:val="28"/>
        </w:rPr>
      </w:pPr>
      <w:r w:rsidRPr="00FE3216">
        <w:rPr>
          <w:rFonts w:ascii="Century Gothic" w:eastAsia="Times New Roman" w:hAnsi="Century Gothic"/>
          <w:b/>
          <w:sz w:val="28"/>
          <w:szCs w:val="28"/>
        </w:rPr>
        <w:t>Type of</w:t>
      </w:r>
      <w:r>
        <w:rPr>
          <w:rFonts w:ascii="Century Gothic" w:eastAsia="Times New Roman" w:hAnsi="Century Gothic"/>
          <w:b/>
          <w:sz w:val="28"/>
          <w:szCs w:val="28"/>
        </w:rPr>
        <w:t xml:space="preserve"> </w:t>
      </w:r>
      <w:r w:rsidRPr="00FE3216">
        <w:rPr>
          <w:rFonts w:ascii="Century Gothic" w:eastAsia="Times New Roman" w:hAnsi="Century Gothic"/>
          <w:b/>
          <w:sz w:val="28"/>
          <w:szCs w:val="28"/>
        </w:rPr>
        <w:t>Credit Facility:</w:t>
      </w:r>
      <w:r w:rsidRPr="00FE3216">
        <w:rPr>
          <w:rFonts w:ascii="Century Gothic" w:eastAsia="Times New Roman" w:hAnsi="Century Gothic"/>
        </w:rPr>
        <w:tab/>
      </w:r>
    </w:p>
    <w:p w14:paraId="0B9DCC1B"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Term Loan (the “Credit Facility”)</w:t>
      </w:r>
    </w:p>
    <w:p w14:paraId="3FABD1C5" w14:textId="77777777" w:rsidR="00124F9A" w:rsidRPr="00FE3216" w:rsidRDefault="00124F9A" w:rsidP="00790F6F">
      <w:pPr>
        <w:tabs>
          <w:tab w:val="left" w:pos="180"/>
        </w:tabs>
        <w:spacing w:line="276" w:lineRule="auto"/>
        <w:rPr>
          <w:rFonts w:ascii="Century Gothic" w:eastAsia="Times New Roman" w:hAnsi="Century Gothic"/>
        </w:rPr>
      </w:pPr>
    </w:p>
    <w:p w14:paraId="3D9B419E" w14:textId="77777777" w:rsidR="009245A0" w:rsidRPr="00FE3216" w:rsidRDefault="00FE3216" w:rsidP="00790F6F">
      <w:pPr>
        <w:tabs>
          <w:tab w:val="left" w:pos="180"/>
          <w:tab w:val="left" w:pos="2500"/>
        </w:tabs>
        <w:spacing w:line="276" w:lineRule="auto"/>
        <w:rPr>
          <w:rFonts w:ascii="Century Gothic" w:eastAsia="Times New Roman" w:hAnsi="Century Gothic"/>
        </w:rPr>
      </w:pPr>
      <w:r w:rsidRPr="00FE3216">
        <w:rPr>
          <w:rFonts w:ascii="Century Gothic" w:eastAsia="Times New Roman" w:hAnsi="Century Gothic"/>
          <w:b/>
          <w:sz w:val="28"/>
          <w:szCs w:val="28"/>
        </w:rPr>
        <w:t>Use of Proceeds</w:t>
      </w:r>
      <w:r w:rsidRPr="00FE3216">
        <w:rPr>
          <w:rFonts w:ascii="Century Gothic" w:eastAsia="Times New Roman" w:hAnsi="Century Gothic"/>
          <w:b/>
          <w:sz w:val="22"/>
        </w:rPr>
        <w:t>:</w:t>
      </w:r>
      <w:r w:rsidRPr="00FE3216">
        <w:rPr>
          <w:rFonts w:ascii="Century Gothic" w:eastAsia="Times New Roman" w:hAnsi="Century Gothic"/>
        </w:rPr>
        <w:tab/>
      </w:r>
    </w:p>
    <w:p w14:paraId="08311614"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To finance the cost of South White Street construction from East Holding</w:t>
      </w:r>
      <w:r w:rsidR="009245A0" w:rsidRPr="00FE3216">
        <w:rPr>
          <w:rFonts w:ascii="Century Gothic" w:eastAsia="Times New Roman" w:hAnsi="Century Gothic"/>
          <w:sz w:val="24"/>
          <w:szCs w:val="24"/>
        </w:rPr>
        <w:t xml:space="preserve"> </w:t>
      </w:r>
      <w:r w:rsidRPr="00FE3216">
        <w:rPr>
          <w:rFonts w:ascii="Century Gothic" w:eastAsia="Times New Roman" w:hAnsi="Century Gothic"/>
          <w:sz w:val="24"/>
          <w:szCs w:val="24"/>
        </w:rPr>
        <w:t>Avenue to Elm Avenue and East Owen Avenue from South White Street to Brooks Street (the “Project”).</w:t>
      </w:r>
    </w:p>
    <w:p w14:paraId="5E28C246" w14:textId="77777777" w:rsidR="00124F9A" w:rsidRPr="00FE3216" w:rsidRDefault="00124F9A" w:rsidP="00790F6F">
      <w:pPr>
        <w:tabs>
          <w:tab w:val="left" w:pos="180"/>
        </w:tabs>
        <w:spacing w:line="276" w:lineRule="auto"/>
        <w:rPr>
          <w:rFonts w:ascii="Century Gothic" w:eastAsia="Times New Roman" w:hAnsi="Century Gothic"/>
        </w:rPr>
      </w:pPr>
    </w:p>
    <w:p w14:paraId="5CB1DC6E"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Principal Amount:</w:t>
      </w:r>
      <w:r w:rsidRPr="00FE3216">
        <w:rPr>
          <w:rFonts w:ascii="Century Gothic" w:eastAsia="Times New Roman" w:hAnsi="Century Gothic"/>
          <w:sz w:val="28"/>
          <w:szCs w:val="28"/>
        </w:rPr>
        <w:tab/>
      </w:r>
    </w:p>
    <w:p w14:paraId="2E626278"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Not to exceed $5,500,000</w:t>
      </w:r>
    </w:p>
    <w:p w14:paraId="0F686EC3" w14:textId="77777777" w:rsidR="00124F9A" w:rsidRPr="00FE3216" w:rsidRDefault="00124F9A" w:rsidP="00790F6F">
      <w:pPr>
        <w:tabs>
          <w:tab w:val="left" w:pos="180"/>
        </w:tabs>
        <w:spacing w:line="276" w:lineRule="auto"/>
        <w:rPr>
          <w:rFonts w:ascii="Century Gothic" w:eastAsia="Times New Roman" w:hAnsi="Century Gothic"/>
        </w:rPr>
      </w:pPr>
    </w:p>
    <w:p w14:paraId="346DE829"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Tenor:</w:t>
      </w:r>
      <w:r w:rsidRPr="00FE3216">
        <w:rPr>
          <w:rFonts w:ascii="Century Gothic" w:eastAsia="Times New Roman" w:hAnsi="Century Gothic"/>
          <w:sz w:val="28"/>
          <w:szCs w:val="28"/>
        </w:rPr>
        <w:tab/>
      </w:r>
    </w:p>
    <w:p w14:paraId="77704502"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84 months</w:t>
      </w:r>
    </w:p>
    <w:p w14:paraId="29144EF2" w14:textId="77777777" w:rsidR="00124F9A" w:rsidRPr="00FE3216" w:rsidRDefault="00124F9A" w:rsidP="00790F6F">
      <w:pPr>
        <w:tabs>
          <w:tab w:val="left" w:pos="180"/>
        </w:tabs>
        <w:spacing w:line="276" w:lineRule="auto"/>
        <w:rPr>
          <w:rFonts w:ascii="Century Gothic" w:eastAsia="Times New Roman" w:hAnsi="Century Gothic"/>
        </w:rPr>
      </w:pPr>
    </w:p>
    <w:p w14:paraId="0B255F14"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Amortization:</w:t>
      </w:r>
      <w:r w:rsidRPr="00FE3216">
        <w:rPr>
          <w:rFonts w:ascii="Century Gothic" w:eastAsia="Times New Roman" w:hAnsi="Century Gothic"/>
          <w:sz w:val="28"/>
          <w:szCs w:val="28"/>
        </w:rPr>
        <w:tab/>
      </w:r>
    </w:p>
    <w:p w14:paraId="33BD287B" w14:textId="77777777" w:rsidR="00124F9A" w:rsidRPr="00FE3216" w:rsidRDefault="00FE3216" w:rsidP="00790F6F">
      <w:pPr>
        <w:tabs>
          <w:tab w:val="left" w:pos="180"/>
          <w:tab w:val="left" w:pos="2500"/>
        </w:tabs>
        <w:spacing w:line="276" w:lineRule="auto"/>
        <w:rPr>
          <w:rFonts w:ascii="Century Gothic" w:eastAsia="Times New Roman" w:hAnsi="Century Gothic"/>
          <w:sz w:val="22"/>
        </w:rPr>
      </w:pPr>
      <w:r w:rsidRPr="00FE3216">
        <w:rPr>
          <w:rFonts w:ascii="Century Gothic" w:eastAsia="Times New Roman" w:hAnsi="Century Gothic"/>
          <w:sz w:val="24"/>
          <w:szCs w:val="24"/>
        </w:rPr>
        <w:t>Principal on the Credit Facility shall amortize on a straight-line basis and</w:t>
      </w:r>
      <w:r w:rsidR="009245A0" w:rsidRPr="00FE3216">
        <w:rPr>
          <w:rFonts w:ascii="Century Gothic" w:eastAsia="Times New Roman" w:hAnsi="Century Gothic"/>
          <w:sz w:val="24"/>
          <w:szCs w:val="24"/>
        </w:rPr>
        <w:t xml:space="preserve"> </w:t>
      </w:r>
      <w:r w:rsidRPr="00FE3216">
        <w:rPr>
          <w:rFonts w:ascii="Century Gothic" w:eastAsia="Times New Roman" w:hAnsi="Century Gothic"/>
          <w:sz w:val="24"/>
          <w:szCs w:val="24"/>
        </w:rPr>
        <w:t>shall be repaid in equal semi-annual installments</w:t>
      </w:r>
      <w:r w:rsidRPr="00FE3216">
        <w:rPr>
          <w:rFonts w:ascii="Century Gothic" w:eastAsia="Times New Roman" w:hAnsi="Century Gothic"/>
          <w:sz w:val="22"/>
        </w:rPr>
        <w:t>.</w:t>
      </w:r>
    </w:p>
    <w:p w14:paraId="7AC6C295" w14:textId="77777777" w:rsidR="00124F9A" w:rsidRPr="00FE3216" w:rsidRDefault="00124F9A" w:rsidP="00790F6F">
      <w:pPr>
        <w:tabs>
          <w:tab w:val="left" w:pos="180"/>
        </w:tabs>
        <w:spacing w:line="276" w:lineRule="auto"/>
        <w:rPr>
          <w:rFonts w:ascii="Century Gothic" w:eastAsia="Times New Roman" w:hAnsi="Century Gothic"/>
        </w:rPr>
      </w:pPr>
    </w:p>
    <w:p w14:paraId="3623CE68"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Interest Rate:</w:t>
      </w:r>
      <w:r w:rsidRPr="00FE3216">
        <w:rPr>
          <w:rFonts w:ascii="Century Gothic" w:eastAsia="Times New Roman" w:hAnsi="Century Gothic"/>
          <w:sz w:val="28"/>
          <w:szCs w:val="28"/>
        </w:rPr>
        <w:tab/>
      </w:r>
    </w:p>
    <w:p w14:paraId="16B2446D"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b/>
          <w:sz w:val="24"/>
          <w:szCs w:val="24"/>
        </w:rPr>
        <w:t xml:space="preserve">2.74% - </w:t>
      </w:r>
      <w:r w:rsidRPr="00FE3216">
        <w:rPr>
          <w:rFonts w:ascii="Century Gothic" w:eastAsia="Times New Roman" w:hAnsi="Century Gothic"/>
          <w:sz w:val="24"/>
          <w:szCs w:val="24"/>
        </w:rPr>
        <w:t>Rate held through May 7, 20</w:t>
      </w:r>
      <w:r w:rsidR="009245A0" w:rsidRPr="00FE3216">
        <w:rPr>
          <w:rFonts w:ascii="Century Gothic" w:eastAsia="Times New Roman" w:hAnsi="Century Gothic"/>
          <w:sz w:val="24"/>
          <w:szCs w:val="24"/>
        </w:rPr>
        <w:t xml:space="preserve">XX </w:t>
      </w:r>
      <w:r w:rsidRPr="00FE3216">
        <w:rPr>
          <w:rFonts w:ascii="Century Gothic" w:eastAsia="Times New Roman" w:hAnsi="Century Gothic"/>
          <w:sz w:val="24"/>
          <w:szCs w:val="24"/>
        </w:rPr>
        <w:t>Interest shall be paid on a semi-annual basis and will be calculated on a 30-day month/360-day year basis.</w:t>
      </w:r>
    </w:p>
    <w:p w14:paraId="4FF7B881" w14:textId="77777777" w:rsidR="00124F9A" w:rsidRPr="00FE3216" w:rsidRDefault="00124F9A" w:rsidP="00790F6F">
      <w:pPr>
        <w:tabs>
          <w:tab w:val="left" w:pos="180"/>
        </w:tabs>
        <w:spacing w:line="276" w:lineRule="auto"/>
        <w:rPr>
          <w:rFonts w:ascii="Century Gothic" w:eastAsia="Times New Roman" w:hAnsi="Century Gothic"/>
          <w:sz w:val="28"/>
          <w:szCs w:val="28"/>
        </w:rPr>
      </w:pPr>
    </w:p>
    <w:p w14:paraId="6D6DFB76" w14:textId="77777777" w:rsidR="009245A0" w:rsidRPr="00FE3216" w:rsidRDefault="00FE3216" w:rsidP="00790F6F">
      <w:pPr>
        <w:tabs>
          <w:tab w:val="left" w:pos="180"/>
          <w:tab w:val="left" w:pos="2500"/>
        </w:tabs>
        <w:spacing w:line="276" w:lineRule="auto"/>
        <w:rPr>
          <w:rFonts w:ascii="Century Gothic" w:eastAsia="Times New Roman" w:hAnsi="Century Gothic"/>
        </w:rPr>
      </w:pPr>
      <w:r w:rsidRPr="00FE3216">
        <w:rPr>
          <w:rFonts w:ascii="Century Gothic" w:eastAsia="Times New Roman" w:hAnsi="Century Gothic"/>
          <w:b/>
          <w:sz w:val="28"/>
          <w:szCs w:val="28"/>
        </w:rPr>
        <w:t>Funding Date:</w:t>
      </w:r>
      <w:r w:rsidRPr="00FE3216">
        <w:rPr>
          <w:rFonts w:ascii="Century Gothic" w:eastAsia="Times New Roman" w:hAnsi="Century Gothic"/>
        </w:rPr>
        <w:tab/>
      </w:r>
    </w:p>
    <w:p w14:paraId="2F54CC76"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On or before May 7, 20</w:t>
      </w:r>
      <w:r w:rsidR="009245A0" w:rsidRPr="00FE3216">
        <w:rPr>
          <w:rFonts w:ascii="Century Gothic" w:eastAsia="Times New Roman" w:hAnsi="Century Gothic"/>
          <w:sz w:val="24"/>
          <w:szCs w:val="24"/>
        </w:rPr>
        <w:t>XX</w:t>
      </w:r>
    </w:p>
    <w:p w14:paraId="6334A89A" w14:textId="77777777" w:rsidR="00124F9A" w:rsidRPr="00FE3216" w:rsidRDefault="00124F9A" w:rsidP="00790F6F">
      <w:pPr>
        <w:tabs>
          <w:tab w:val="left" w:pos="180"/>
        </w:tabs>
        <w:spacing w:line="276" w:lineRule="auto"/>
        <w:rPr>
          <w:rFonts w:ascii="Century Gothic" w:eastAsia="Times New Roman" w:hAnsi="Century Gothic"/>
        </w:rPr>
      </w:pPr>
    </w:p>
    <w:p w14:paraId="7634FEB3"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lastRenderedPageBreak/>
        <w:t>Security:</w:t>
      </w:r>
    </w:p>
    <w:p w14:paraId="6A1C024D"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Security interest in the Project.</w:t>
      </w:r>
    </w:p>
    <w:p w14:paraId="4F9125C1" w14:textId="77777777" w:rsidR="00124F9A" w:rsidRPr="00FE3216" w:rsidRDefault="00124F9A" w:rsidP="00790F6F">
      <w:pPr>
        <w:tabs>
          <w:tab w:val="left" w:pos="180"/>
        </w:tabs>
        <w:spacing w:line="276" w:lineRule="auto"/>
        <w:rPr>
          <w:rFonts w:ascii="Century Gothic" w:eastAsia="Times New Roman" w:hAnsi="Century Gothic"/>
        </w:rPr>
      </w:pPr>
    </w:p>
    <w:p w14:paraId="0E623887"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Tax Treatment:</w:t>
      </w:r>
      <w:r w:rsidRPr="00FE3216">
        <w:rPr>
          <w:rFonts w:ascii="Century Gothic" w:eastAsia="Times New Roman" w:hAnsi="Century Gothic"/>
          <w:sz w:val="28"/>
          <w:szCs w:val="28"/>
        </w:rPr>
        <w:tab/>
      </w:r>
    </w:p>
    <w:p w14:paraId="691F5D98"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 xml:space="preserve">Interest on the Credit Facility shall be offered on a </w:t>
      </w:r>
      <w:r w:rsidRPr="00FE3216">
        <w:rPr>
          <w:rFonts w:ascii="Century Gothic" w:eastAsia="Times New Roman" w:hAnsi="Century Gothic"/>
          <w:b/>
          <w:sz w:val="24"/>
          <w:szCs w:val="24"/>
        </w:rPr>
        <w:t>bank-qualified</w:t>
      </w:r>
      <w:r w:rsidRPr="00FE3216">
        <w:rPr>
          <w:rFonts w:ascii="Century Gothic" w:eastAsia="Times New Roman" w:hAnsi="Century Gothic"/>
          <w:sz w:val="24"/>
          <w:szCs w:val="24"/>
        </w:rPr>
        <w:t xml:space="preserve"> tax-</w:t>
      </w:r>
      <w:r w:rsidR="009245A0" w:rsidRPr="00FE3216">
        <w:rPr>
          <w:rFonts w:ascii="Century Gothic" w:eastAsia="Times New Roman" w:hAnsi="Century Gothic"/>
          <w:sz w:val="24"/>
          <w:szCs w:val="24"/>
        </w:rPr>
        <w:t xml:space="preserve"> </w:t>
      </w:r>
      <w:r w:rsidRPr="00FE3216">
        <w:rPr>
          <w:rFonts w:ascii="Century Gothic" w:eastAsia="Times New Roman" w:hAnsi="Century Gothic"/>
          <w:sz w:val="24"/>
          <w:szCs w:val="24"/>
        </w:rPr>
        <w:t>exempt basis, subject to any applicable federal, state and/or local laws, rules, regulations and/or authorizations.</w:t>
      </w:r>
    </w:p>
    <w:p w14:paraId="73568627" w14:textId="77777777" w:rsidR="00124F9A" w:rsidRPr="00FE3216" w:rsidRDefault="00124F9A" w:rsidP="00790F6F">
      <w:pPr>
        <w:tabs>
          <w:tab w:val="left" w:pos="180"/>
        </w:tabs>
        <w:spacing w:line="276" w:lineRule="auto"/>
        <w:rPr>
          <w:rFonts w:ascii="Century Gothic" w:eastAsia="Times New Roman" w:hAnsi="Century Gothic"/>
          <w:sz w:val="28"/>
          <w:szCs w:val="28"/>
        </w:rPr>
      </w:pPr>
    </w:p>
    <w:p w14:paraId="5965829F"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Taxability:</w:t>
      </w:r>
    </w:p>
    <w:p w14:paraId="265102BA"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If for any reason an event of taxability or deductibility shall occur as the</w:t>
      </w:r>
      <w:r w:rsidR="009245A0" w:rsidRPr="00FE3216">
        <w:rPr>
          <w:rFonts w:ascii="Century Gothic" w:eastAsia="Times New Roman" w:hAnsi="Century Gothic"/>
          <w:sz w:val="24"/>
          <w:szCs w:val="24"/>
        </w:rPr>
        <w:t xml:space="preserve"> </w:t>
      </w:r>
      <w:r w:rsidRPr="00FE3216">
        <w:rPr>
          <w:rFonts w:ascii="Century Gothic" w:eastAsia="Times New Roman" w:hAnsi="Century Gothic"/>
          <w:sz w:val="24"/>
          <w:szCs w:val="24"/>
        </w:rPr>
        <w:t xml:space="preserve">result of an action or failure to </w:t>
      </w:r>
      <w:proofErr w:type="gramStart"/>
      <w:r w:rsidRPr="00FE3216">
        <w:rPr>
          <w:rFonts w:ascii="Century Gothic" w:eastAsia="Times New Roman" w:hAnsi="Century Gothic"/>
          <w:sz w:val="24"/>
          <w:szCs w:val="24"/>
        </w:rPr>
        <w:t>take action</w:t>
      </w:r>
      <w:proofErr w:type="gramEnd"/>
      <w:r w:rsidRPr="00FE3216">
        <w:rPr>
          <w:rFonts w:ascii="Century Gothic" w:eastAsia="Times New Roman" w:hAnsi="Century Gothic"/>
          <w:sz w:val="24"/>
          <w:szCs w:val="24"/>
        </w:rPr>
        <w:t xml:space="preserve"> by the Borrower, then the</w:t>
      </w:r>
      <w:r w:rsidR="009245A0" w:rsidRPr="00FE3216">
        <w:rPr>
          <w:rFonts w:ascii="Century Gothic" w:eastAsia="Times New Roman" w:hAnsi="Century Gothic"/>
          <w:sz w:val="24"/>
          <w:szCs w:val="24"/>
        </w:rPr>
        <w:t xml:space="preserve"> </w:t>
      </w:r>
      <w:r w:rsidRPr="00FE3216">
        <w:rPr>
          <w:rFonts w:ascii="Century Gothic" w:eastAsia="Times New Roman" w:hAnsi="Century Gothic"/>
          <w:sz w:val="24"/>
          <w:szCs w:val="24"/>
        </w:rPr>
        <w:t>interest rate charged on the outstanding principal balance of the Credit</w:t>
      </w:r>
      <w:r w:rsidR="009245A0" w:rsidRPr="00FE3216">
        <w:rPr>
          <w:rFonts w:ascii="Century Gothic" w:eastAsia="Times New Roman" w:hAnsi="Century Gothic"/>
          <w:sz w:val="24"/>
          <w:szCs w:val="24"/>
        </w:rPr>
        <w:t xml:space="preserve"> </w:t>
      </w:r>
      <w:r w:rsidRPr="00FE3216">
        <w:rPr>
          <w:rFonts w:ascii="Century Gothic" w:eastAsia="Times New Roman" w:hAnsi="Century Gothic"/>
          <w:sz w:val="24"/>
          <w:szCs w:val="24"/>
        </w:rPr>
        <w:t>Facility shall, effective as of and after the date of the occurrence of such</w:t>
      </w:r>
      <w:r w:rsidR="009245A0" w:rsidRPr="00FE3216">
        <w:rPr>
          <w:rFonts w:ascii="Century Gothic" w:eastAsia="Times New Roman" w:hAnsi="Century Gothic"/>
          <w:sz w:val="24"/>
          <w:szCs w:val="24"/>
        </w:rPr>
        <w:t xml:space="preserve"> </w:t>
      </w:r>
      <w:r w:rsidRPr="00FE3216">
        <w:rPr>
          <w:rFonts w:ascii="Century Gothic" w:eastAsia="Times New Roman" w:hAnsi="Century Gothic"/>
          <w:sz w:val="24"/>
          <w:szCs w:val="24"/>
        </w:rPr>
        <w:t>event, be increased to and calculated at the taxable equivalent rate.</w:t>
      </w:r>
    </w:p>
    <w:p w14:paraId="0CE261CE" w14:textId="77777777" w:rsidR="00124F9A" w:rsidRPr="00FE3216" w:rsidRDefault="00124F9A" w:rsidP="00790F6F">
      <w:pPr>
        <w:tabs>
          <w:tab w:val="left" w:pos="180"/>
        </w:tabs>
        <w:spacing w:line="276" w:lineRule="auto"/>
        <w:rPr>
          <w:rFonts w:ascii="Century Gothic" w:eastAsia="Times New Roman" w:hAnsi="Century Gothic"/>
        </w:rPr>
      </w:pPr>
    </w:p>
    <w:p w14:paraId="63CED335"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Non-Appropriation:</w:t>
      </w:r>
      <w:r w:rsidRPr="00FE3216">
        <w:rPr>
          <w:rFonts w:ascii="Century Gothic" w:eastAsia="Times New Roman" w:hAnsi="Century Gothic"/>
          <w:sz w:val="28"/>
          <w:szCs w:val="28"/>
        </w:rPr>
        <w:tab/>
      </w:r>
    </w:p>
    <w:p w14:paraId="10897B03"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The Borrower will agree that an appropriation sufficient to satisfy the debt</w:t>
      </w:r>
      <w:r w:rsidR="009245A0" w:rsidRPr="00FE3216">
        <w:rPr>
          <w:rFonts w:ascii="Century Gothic" w:eastAsia="Times New Roman" w:hAnsi="Century Gothic"/>
          <w:sz w:val="24"/>
          <w:szCs w:val="24"/>
        </w:rPr>
        <w:t xml:space="preserve"> </w:t>
      </w:r>
      <w:r w:rsidRPr="00FE3216">
        <w:rPr>
          <w:rFonts w:ascii="Century Gothic" w:eastAsia="Times New Roman" w:hAnsi="Century Gothic"/>
          <w:sz w:val="24"/>
          <w:szCs w:val="24"/>
        </w:rPr>
        <w:t>service will be included in its budgeting proposal process.</w:t>
      </w:r>
    </w:p>
    <w:p w14:paraId="0540E501" w14:textId="77777777" w:rsidR="00FE3216" w:rsidRDefault="00FE3216" w:rsidP="00790F6F">
      <w:pPr>
        <w:tabs>
          <w:tab w:val="left" w:pos="180"/>
          <w:tab w:val="left" w:pos="2500"/>
        </w:tabs>
        <w:spacing w:line="276" w:lineRule="auto"/>
        <w:rPr>
          <w:rFonts w:ascii="Century Gothic" w:eastAsia="Times New Roman" w:hAnsi="Century Gothic"/>
          <w:sz w:val="22"/>
        </w:rPr>
      </w:pPr>
    </w:p>
    <w:p w14:paraId="259E12B5" w14:textId="77777777" w:rsidR="009245A0" w:rsidRPr="00FE3216" w:rsidRDefault="00FE3216" w:rsidP="00790F6F">
      <w:pPr>
        <w:tabs>
          <w:tab w:val="left" w:pos="180"/>
        </w:tabs>
        <w:spacing w:line="276" w:lineRule="auto"/>
        <w:rPr>
          <w:rFonts w:ascii="Century Gothic" w:eastAsia="Times New Roman" w:hAnsi="Century Gothic"/>
          <w:b/>
          <w:sz w:val="28"/>
          <w:szCs w:val="28"/>
        </w:rPr>
      </w:pPr>
      <w:bookmarkStart w:id="1" w:name="page3"/>
      <w:bookmarkEnd w:id="1"/>
      <w:r w:rsidRPr="00FE3216">
        <w:rPr>
          <w:rFonts w:ascii="Century Gothic" w:eastAsia="Times New Roman" w:hAnsi="Century Gothic"/>
          <w:b/>
          <w:sz w:val="28"/>
          <w:szCs w:val="28"/>
        </w:rPr>
        <w:t>Prepayment/</w:t>
      </w:r>
      <w:r w:rsidR="009245A0" w:rsidRPr="00FE3216">
        <w:rPr>
          <w:rFonts w:ascii="Century Gothic" w:eastAsia="Times New Roman" w:hAnsi="Century Gothic"/>
          <w:b/>
          <w:sz w:val="28"/>
          <w:szCs w:val="28"/>
        </w:rPr>
        <w:t xml:space="preserve"> </w:t>
      </w:r>
      <w:r w:rsidRPr="00FE3216">
        <w:rPr>
          <w:rFonts w:ascii="Century Gothic" w:eastAsia="Times New Roman" w:hAnsi="Century Gothic"/>
          <w:b/>
          <w:sz w:val="28"/>
          <w:szCs w:val="28"/>
        </w:rPr>
        <w:t>Yield Protection</w:t>
      </w:r>
      <w:r w:rsidRPr="00FE3216">
        <w:rPr>
          <w:rFonts w:ascii="Century Gothic" w:eastAsia="Times New Roman" w:hAnsi="Century Gothic"/>
          <w:sz w:val="28"/>
          <w:szCs w:val="28"/>
        </w:rPr>
        <w:t>:</w:t>
      </w:r>
      <w:r w:rsidRPr="00FE3216">
        <w:rPr>
          <w:rFonts w:ascii="Century Gothic" w:eastAsia="Times New Roman" w:hAnsi="Century Gothic"/>
          <w:sz w:val="28"/>
          <w:szCs w:val="28"/>
        </w:rPr>
        <w:tab/>
      </w:r>
    </w:p>
    <w:p w14:paraId="3C407E33" w14:textId="77777777" w:rsidR="00124F9A" w:rsidRPr="00FE3216" w:rsidRDefault="00FE3216" w:rsidP="00790F6F">
      <w:pPr>
        <w:tabs>
          <w:tab w:val="left" w:pos="180"/>
          <w:tab w:val="left" w:pos="360"/>
        </w:tabs>
        <w:spacing w:line="276" w:lineRule="auto"/>
        <w:jc w:val="both"/>
        <w:rPr>
          <w:rFonts w:ascii="Century Gothic" w:eastAsia="Times New Roman" w:hAnsi="Century Gothic"/>
          <w:sz w:val="24"/>
          <w:szCs w:val="24"/>
        </w:rPr>
      </w:pPr>
      <w:r w:rsidRPr="00FE3216">
        <w:rPr>
          <w:rFonts w:ascii="Century Gothic" w:eastAsia="Times New Roman" w:hAnsi="Century Gothic"/>
          <w:sz w:val="24"/>
          <w:szCs w:val="24"/>
        </w:rPr>
        <w:t>Upon at least thirty (30) business days prior written notice to the holder, the Borrower has the right to prepay all of the outstanding principal and interest hereunder. Notwithstanding anything contained herein to the contrary, upon any prepayment by or on behalf of the Borrower (whether voluntary, on default or otherwise), the Registered Owner may require, if it so elects, the Borrower to pay the Registered Owner as compensation for the costs of being prepaid an amount equal to the Cost of Prepayment. “Cost of Prepayment” means an amount equal to the present value, if positive, of the product of (a) the difference between (i) the yield, on the beginning date of the applicable interest period, of a U.S. Treasury obligation with a maturity similar to the applicable interest period, minus</w:t>
      </w:r>
      <w:r w:rsidR="009245A0" w:rsidRPr="00FE3216">
        <w:rPr>
          <w:rFonts w:ascii="Century Gothic" w:eastAsia="Times New Roman" w:hAnsi="Century Gothic"/>
          <w:sz w:val="24"/>
          <w:szCs w:val="24"/>
        </w:rPr>
        <w:t xml:space="preserve"> </w:t>
      </w:r>
      <w:r w:rsidRPr="00FE3216">
        <w:rPr>
          <w:rFonts w:ascii="Century Gothic" w:eastAsia="Times New Roman" w:hAnsi="Century Gothic"/>
          <w:sz w:val="24"/>
          <w:szCs w:val="24"/>
        </w:rPr>
        <w:t>the yield on the prepayment date, of a U.S. Treasury obligation with a maturity similar to the remaining maturity of the applicable interest period, and (b) the principal amount to be prepaid, and (c) the number of years, including fractional years, from the prepayment date to the end of the applicable interest period. The yield on any U.S. Treasury obligation shall be determined by reference to Federal Reserve Statistical Release H.15</w:t>
      </w:r>
    </w:p>
    <w:p w14:paraId="11363935" w14:textId="77777777" w:rsidR="00124F9A" w:rsidRPr="00FE3216" w:rsidRDefault="00124F9A" w:rsidP="00790F6F">
      <w:pPr>
        <w:tabs>
          <w:tab w:val="left" w:pos="180"/>
          <w:tab w:val="left" w:pos="360"/>
        </w:tabs>
        <w:spacing w:line="276" w:lineRule="auto"/>
        <w:rPr>
          <w:rFonts w:ascii="Century Gothic" w:eastAsia="Times New Roman" w:hAnsi="Century Gothic"/>
          <w:sz w:val="24"/>
          <w:szCs w:val="24"/>
        </w:rPr>
      </w:pPr>
    </w:p>
    <w:p w14:paraId="683D4F16" w14:textId="77777777" w:rsidR="00124F9A" w:rsidRPr="00FE3216" w:rsidRDefault="00FE3216" w:rsidP="00790F6F">
      <w:pPr>
        <w:tabs>
          <w:tab w:val="left" w:pos="180"/>
          <w:tab w:val="left" w:pos="360"/>
        </w:tabs>
        <w:spacing w:line="276" w:lineRule="auto"/>
        <w:jc w:val="both"/>
        <w:rPr>
          <w:rFonts w:ascii="Century Gothic" w:eastAsia="Times New Roman" w:hAnsi="Century Gothic"/>
          <w:sz w:val="24"/>
          <w:szCs w:val="24"/>
        </w:rPr>
      </w:pPr>
      <w:r w:rsidRPr="00FE3216">
        <w:rPr>
          <w:rFonts w:ascii="Century Gothic" w:eastAsia="Times New Roman" w:hAnsi="Century Gothic"/>
          <w:sz w:val="24"/>
          <w:szCs w:val="24"/>
        </w:rPr>
        <w:lastRenderedPageBreak/>
        <w:t>(519) “Selected Interest Rates.” For purposes of making present value calculations, the yield to maturity of a similar maturity U.S. Treasury obligation on the prepayment date shall be deemed the discount rate. The Costs of Prepayment shall also apply to any payments made after acceleration of the maturity of the Credit Facility.</w:t>
      </w:r>
    </w:p>
    <w:p w14:paraId="130FFEF9" w14:textId="77777777" w:rsidR="00124F9A" w:rsidRPr="00FE3216" w:rsidRDefault="00124F9A" w:rsidP="00790F6F">
      <w:pPr>
        <w:tabs>
          <w:tab w:val="left" w:pos="180"/>
        </w:tabs>
        <w:spacing w:line="276" w:lineRule="auto"/>
        <w:rPr>
          <w:rFonts w:ascii="Century Gothic" w:eastAsia="Times New Roman" w:hAnsi="Century Gothic"/>
        </w:rPr>
      </w:pPr>
    </w:p>
    <w:p w14:paraId="67B55339" w14:textId="77777777" w:rsidR="009245A0" w:rsidRPr="00FE3216" w:rsidRDefault="00FE3216" w:rsidP="00790F6F">
      <w:pPr>
        <w:tabs>
          <w:tab w:val="left" w:pos="180"/>
          <w:tab w:val="left" w:pos="2500"/>
        </w:tabs>
        <w:spacing w:line="276" w:lineRule="auto"/>
        <w:jc w:val="both"/>
        <w:rPr>
          <w:rFonts w:ascii="Century Gothic" w:eastAsia="Times New Roman" w:hAnsi="Century Gothic"/>
          <w:sz w:val="28"/>
          <w:szCs w:val="28"/>
        </w:rPr>
      </w:pPr>
      <w:r w:rsidRPr="00FE3216">
        <w:rPr>
          <w:rFonts w:ascii="Century Gothic" w:eastAsia="Times New Roman" w:hAnsi="Century Gothic"/>
          <w:b/>
          <w:sz w:val="28"/>
          <w:szCs w:val="28"/>
        </w:rPr>
        <w:t>Margin Rate Factor:</w:t>
      </w:r>
      <w:r w:rsidRPr="00FE3216">
        <w:rPr>
          <w:rFonts w:ascii="Century Gothic" w:eastAsia="Times New Roman" w:hAnsi="Century Gothic"/>
          <w:sz w:val="28"/>
          <w:szCs w:val="28"/>
        </w:rPr>
        <w:tab/>
      </w:r>
    </w:p>
    <w:p w14:paraId="32469776" w14:textId="77777777" w:rsidR="00124F9A" w:rsidRPr="00FE3216" w:rsidRDefault="00FE3216" w:rsidP="00790F6F">
      <w:pPr>
        <w:tabs>
          <w:tab w:val="left" w:pos="180"/>
          <w:tab w:val="left" w:pos="2500"/>
        </w:tabs>
        <w:spacing w:line="276" w:lineRule="auto"/>
        <w:jc w:val="both"/>
        <w:rPr>
          <w:rFonts w:ascii="Century Gothic" w:eastAsia="Times New Roman" w:hAnsi="Century Gothic"/>
          <w:sz w:val="24"/>
          <w:szCs w:val="24"/>
        </w:rPr>
      </w:pPr>
      <w:r w:rsidRPr="00FE3216">
        <w:rPr>
          <w:rFonts w:ascii="Century Gothic" w:eastAsia="Times New Roman" w:hAnsi="Century Gothic"/>
          <w:sz w:val="24"/>
          <w:szCs w:val="24"/>
        </w:rPr>
        <w:t>In the event of a change in the Lender’s corporate tax rate during any period where interest is accruing on a tax-exempt basis causes a reduction in the tax equivalent yield on the Credit Facility, the interest payable on the Credit Facility shall be increased to compensate for such change in the effective yield to a rate calculated by multiplying the interest rate on the Credit Facility by the ratio equal to (1 minus A) divided (1 minus B), where A equals the Lender’s corporate tax rate in effect as of the date of the corporate tax rate adjustment as announced by the IRS and B equals the Lender’s corporate tax rate in effect on the date of the original issuance of the Credit Facility.</w:t>
      </w:r>
    </w:p>
    <w:p w14:paraId="592D56F8" w14:textId="77777777" w:rsidR="00124F9A" w:rsidRPr="00FE3216" w:rsidRDefault="00124F9A" w:rsidP="00790F6F">
      <w:pPr>
        <w:tabs>
          <w:tab w:val="left" w:pos="180"/>
        </w:tabs>
        <w:spacing w:line="276" w:lineRule="auto"/>
        <w:rPr>
          <w:rFonts w:ascii="Century Gothic" w:eastAsia="Times New Roman" w:hAnsi="Century Gothic"/>
        </w:rPr>
      </w:pPr>
    </w:p>
    <w:p w14:paraId="3B6E3E69"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Default Rate:</w:t>
      </w:r>
      <w:r w:rsidRPr="00FE3216">
        <w:rPr>
          <w:rFonts w:ascii="Century Gothic" w:eastAsia="Times New Roman" w:hAnsi="Century Gothic"/>
          <w:sz w:val="28"/>
          <w:szCs w:val="28"/>
        </w:rPr>
        <w:tab/>
      </w:r>
    </w:p>
    <w:p w14:paraId="0F5D2594"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PNC Base Rate plus 3%.</w:t>
      </w:r>
    </w:p>
    <w:p w14:paraId="037753AB" w14:textId="77777777" w:rsidR="00124F9A" w:rsidRPr="00FE3216" w:rsidRDefault="00124F9A" w:rsidP="00790F6F">
      <w:pPr>
        <w:tabs>
          <w:tab w:val="left" w:pos="180"/>
        </w:tabs>
        <w:spacing w:line="276" w:lineRule="auto"/>
        <w:rPr>
          <w:rFonts w:ascii="Century Gothic" w:eastAsia="Times New Roman" w:hAnsi="Century Gothic"/>
          <w:sz w:val="24"/>
          <w:szCs w:val="24"/>
        </w:rPr>
      </w:pPr>
    </w:p>
    <w:p w14:paraId="13D183BE" w14:textId="77777777" w:rsidR="009245A0" w:rsidRPr="00FE3216" w:rsidRDefault="00FE3216" w:rsidP="00790F6F">
      <w:pPr>
        <w:tabs>
          <w:tab w:val="left" w:pos="180"/>
          <w:tab w:val="left" w:pos="2500"/>
        </w:tabs>
        <w:spacing w:line="276" w:lineRule="auto"/>
        <w:jc w:val="both"/>
        <w:rPr>
          <w:rFonts w:ascii="Century Gothic" w:eastAsia="Times New Roman" w:hAnsi="Century Gothic"/>
          <w:sz w:val="28"/>
          <w:szCs w:val="28"/>
        </w:rPr>
      </w:pPr>
      <w:r w:rsidRPr="00FE3216">
        <w:rPr>
          <w:rFonts w:ascii="Century Gothic" w:eastAsia="Times New Roman" w:hAnsi="Century Gothic"/>
          <w:b/>
          <w:sz w:val="28"/>
          <w:szCs w:val="28"/>
        </w:rPr>
        <w:t>Expenses:</w:t>
      </w:r>
      <w:r w:rsidRPr="00FE3216">
        <w:rPr>
          <w:rFonts w:ascii="Century Gothic" w:eastAsia="Times New Roman" w:hAnsi="Century Gothic"/>
          <w:sz w:val="28"/>
          <w:szCs w:val="28"/>
        </w:rPr>
        <w:tab/>
      </w:r>
    </w:p>
    <w:p w14:paraId="67B7C179" w14:textId="77777777" w:rsidR="00124F9A" w:rsidRPr="00FE3216" w:rsidRDefault="00FE3216" w:rsidP="00790F6F">
      <w:pPr>
        <w:tabs>
          <w:tab w:val="left" w:pos="180"/>
          <w:tab w:val="left" w:pos="361"/>
        </w:tabs>
        <w:spacing w:line="276" w:lineRule="auto"/>
        <w:jc w:val="both"/>
        <w:rPr>
          <w:rFonts w:ascii="Century Gothic" w:eastAsia="Times New Roman" w:hAnsi="Century Gothic"/>
          <w:sz w:val="24"/>
          <w:szCs w:val="24"/>
        </w:rPr>
      </w:pPr>
      <w:r w:rsidRPr="00FE3216">
        <w:rPr>
          <w:rFonts w:ascii="Century Gothic" w:eastAsia="Times New Roman" w:hAnsi="Century Gothic"/>
          <w:sz w:val="24"/>
          <w:szCs w:val="24"/>
        </w:rPr>
        <w:t xml:space="preserve">If applicable, all costs and expenses incurred by the Bank shall be reimbursed by the Borrower at closing and otherwise on demand. The Borrower shall be responsible for Bank’s legal counsel fees, which will not exceed $7,500. This quote assumes that Bank Counsel, Jeff </w:t>
      </w:r>
      <w:proofErr w:type="spellStart"/>
      <w:r w:rsidRPr="00FE3216">
        <w:rPr>
          <w:rFonts w:ascii="Century Gothic" w:eastAsia="Times New Roman" w:hAnsi="Century Gothic"/>
          <w:sz w:val="24"/>
          <w:szCs w:val="24"/>
        </w:rPr>
        <w:t>Poley</w:t>
      </w:r>
      <w:proofErr w:type="spellEnd"/>
      <w:r w:rsidRPr="00FE3216">
        <w:rPr>
          <w:rFonts w:ascii="Century Gothic" w:eastAsia="Times New Roman" w:hAnsi="Century Gothic"/>
          <w:sz w:val="24"/>
          <w:szCs w:val="24"/>
        </w:rPr>
        <w:t xml:space="preserve"> with Parker Poe, will be responsible for drafting documents.</w:t>
      </w:r>
    </w:p>
    <w:p w14:paraId="0F863AAB" w14:textId="77777777" w:rsidR="00124F9A" w:rsidRPr="00FE3216" w:rsidRDefault="00124F9A" w:rsidP="00790F6F">
      <w:pPr>
        <w:tabs>
          <w:tab w:val="left" w:pos="180"/>
        </w:tabs>
        <w:spacing w:line="276" w:lineRule="auto"/>
        <w:rPr>
          <w:rFonts w:ascii="Century Gothic" w:eastAsia="Times New Roman" w:hAnsi="Century Gothic"/>
        </w:rPr>
      </w:pPr>
    </w:p>
    <w:p w14:paraId="2B856154" w14:textId="77777777" w:rsidR="009245A0" w:rsidRPr="00FE3216" w:rsidRDefault="00FE3216" w:rsidP="00790F6F">
      <w:pPr>
        <w:tabs>
          <w:tab w:val="left" w:pos="18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Representations and</w:t>
      </w:r>
      <w:r w:rsidR="009245A0" w:rsidRPr="00FE3216">
        <w:rPr>
          <w:rFonts w:ascii="Century Gothic" w:eastAsia="Times New Roman" w:hAnsi="Century Gothic"/>
          <w:b/>
          <w:sz w:val="28"/>
          <w:szCs w:val="28"/>
        </w:rPr>
        <w:t xml:space="preserve"> </w:t>
      </w:r>
      <w:r w:rsidRPr="00FE3216">
        <w:rPr>
          <w:rFonts w:ascii="Century Gothic" w:eastAsia="Times New Roman" w:hAnsi="Century Gothic"/>
          <w:b/>
          <w:sz w:val="28"/>
          <w:szCs w:val="28"/>
        </w:rPr>
        <w:t>Warranties:</w:t>
      </w:r>
      <w:r w:rsidRPr="00FE3216">
        <w:rPr>
          <w:rFonts w:ascii="Century Gothic" w:eastAsia="Times New Roman" w:hAnsi="Century Gothic"/>
          <w:sz w:val="28"/>
          <w:szCs w:val="28"/>
        </w:rPr>
        <w:tab/>
      </w:r>
    </w:p>
    <w:p w14:paraId="36F397A0" w14:textId="77777777" w:rsidR="00124F9A" w:rsidRPr="00FE3216" w:rsidRDefault="00FE3216" w:rsidP="00790F6F">
      <w:pPr>
        <w:tabs>
          <w:tab w:val="left" w:pos="18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The Borrower will make representations and warranties customary to transactions of this type, including among other things: (a) the accuracy and completeness of its financial statements; (b) the absence of a material adverse change in its condition (financial or otherwise), business, properties, assets or prospects; (c) evidence of the Borrower’s authority to enter in to the Credit Facility and execute related documents and compliance with all statutes, rules and other laws applicable to Borrower; and (d) the absence of litigation, except as disclosed to the Bank.</w:t>
      </w:r>
    </w:p>
    <w:p w14:paraId="3A0CB33C" w14:textId="77777777" w:rsidR="009245A0" w:rsidRPr="00FE3216" w:rsidRDefault="00FE3216" w:rsidP="00790F6F">
      <w:pPr>
        <w:tabs>
          <w:tab w:val="left" w:pos="180"/>
        </w:tabs>
        <w:spacing w:line="276" w:lineRule="auto"/>
        <w:rPr>
          <w:rFonts w:ascii="Century Gothic" w:eastAsia="Times New Roman" w:hAnsi="Century Gothic"/>
          <w:sz w:val="28"/>
          <w:szCs w:val="28"/>
        </w:rPr>
      </w:pPr>
      <w:bookmarkStart w:id="2" w:name="page4"/>
      <w:bookmarkEnd w:id="2"/>
      <w:r w:rsidRPr="00FE3216">
        <w:rPr>
          <w:rFonts w:ascii="Century Gothic" w:eastAsia="Times New Roman" w:hAnsi="Century Gothic"/>
          <w:b/>
          <w:sz w:val="28"/>
          <w:szCs w:val="28"/>
        </w:rPr>
        <w:t>Conditions Precedent</w:t>
      </w:r>
      <w:r w:rsidR="009245A0" w:rsidRPr="00FE3216">
        <w:rPr>
          <w:rFonts w:ascii="Century Gothic" w:eastAsia="Times New Roman" w:hAnsi="Century Gothic"/>
          <w:b/>
          <w:sz w:val="28"/>
          <w:szCs w:val="28"/>
        </w:rPr>
        <w:t xml:space="preserve"> </w:t>
      </w:r>
      <w:r w:rsidRPr="00FE3216">
        <w:rPr>
          <w:rFonts w:ascii="Century Gothic" w:eastAsia="Times New Roman" w:hAnsi="Century Gothic"/>
          <w:b/>
          <w:sz w:val="28"/>
          <w:szCs w:val="28"/>
        </w:rPr>
        <w:t>to Financing:</w:t>
      </w:r>
      <w:r w:rsidRPr="00FE3216">
        <w:rPr>
          <w:rFonts w:ascii="Century Gothic" w:eastAsia="Times New Roman" w:hAnsi="Century Gothic"/>
          <w:sz w:val="28"/>
          <w:szCs w:val="28"/>
        </w:rPr>
        <w:tab/>
      </w:r>
    </w:p>
    <w:p w14:paraId="1444E409" w14:textId="77777777" w:rsidR="00FE3216" w:rsidRDefault="00FE3216" w:rsidP="00790F6F">
      <w:pPr>
        <w:tabs>
          <w:tab w:val="left" w:pos="180"/>
        </w:tabs>
        <w:spacing w:line="276" w:lineRule="auto"/>
        <w:rPr>
          <w:rFonts w:ascii="Century Gothic" w:eastAsia="Times New Roman" w:hAnsi="Century Gothic"/>
          <w:b/>
          <w:sz w:val="24"/>
          <w:szCs w:val="24"/>
        </w:rPr>
      </w:pPr>
      <w:r w:rsidRPr="00FE3216">
        <w:rPr>
          <w:rFonts w:ascii="Century Gothic" w:eastAsia="Times New Roman" w:hAnsi="Century Gothic"/>
          <w:sz w:val="24"/>
          <w:szCs w:val="24"/>
        </w:rPr>
        <w:t>Including, but not limited to, the following:</w:t>
      </w:r>
    </w:p>
    <w:p w14:paraId="31ECDB94" w14:textId="77777777" w:rsidR="00FE3216" w:rsidRDefault="00FE3216" w:rsidP="00790F6F">
      <w:pPr>
        <w:tabs>
          <w:tab w:val="left" w:pos="180"/>
        </w:tabs>
        <w:spacing w:line="276" w:lineRule="auto"/>
        <w:rPr>
          <w:rFonts w:ascii="Century Gothic" w:eastAsia="Times New Roman" w:hAnsi="Century Gothic"/>
          <w:b/>
          <w:sz w:val="24"/>
          <w:szCs w:val="24"/>
        </w:rPr>
      </w:pPr>
      <w:r w:rsidRPr="00FE3216">
        <w:rPr>
          <w:rFonts w:ascii="Century Gothic" w:eastAsia="Times New Roman" w:hAnsi="Century Gothic"/>
          <w:sz w:val="24"/>
          <w:szCs w:val="24"/>
        </w:rPr>
        <w:t>Satisfactory completion of due diligence regarding the Borrower and any Security.</w:t>
      </w:r>
    </w:p>
    <w:p w14:paraId="66B079FB" w14:textId="77777777" w:rsidR="00FE3216" w:rsidRDefault="00FE3216" w:rsidP="00790F6F">
      <w:pPr>
        <w:tabs>
          <w:tab w:val="left" w:pos="180"/>
        </w:tabs>
        <w:spacing w:line="276" w:lineRule="auto"/>
        <w:rPr>
          <w:rFonts w:ascii="Century Gothic" w:eastAsia="Times New Roman" w:hAnsi="Century Gothic"/>
          <w:b/>
          <w:sz w:val="24"/>
          <w:szCs w:val="24"/>
        </w:rPr>
      </w:pPr>
      <w:r w:rsidRPr="00FE3216">
        <w:rPr>
          <w:rFonts w:ascii="Century Gothic" w:eastAsia="Times New Roman" w:hAnsi="Century Gothic"/>
          <w:sz w:val="24"/>
          <w:szCs w:val="24"/>
        </w:rPr>
        <w:t>Execution of all documentation as may be requested by the Bank relating to the Credit Facility in form and substance satisfactory to the Bank and its counsel;</w:t>
      </w:r>
    </w:p>
    <w:p w14:paraId="1B447B63" w14:textId="77777777" w:rsidR="00FE3216" w:rsidRDefault="009245A0" w:rsidP="00790F6F">
      <w:pPr>
        <w:tabs>
          <w:tab w:val="left" w:pos="180"/>
        </w:tabs>
        <w:spacing w:line="276" w:lineRule="auto"/>
        <w:rPr>
          <w:rFonts w:ascii="Century Gothic" w:eastAsia="Times New Roman" w:hAnsi="Century Gothic"/>
          <w:b/>
          <w:sz w:val="24"/>
          <w:szCs w:val="24"/>
        </w:rPr>
      </w:pPr>
      <w:r w:rsidRPr="00FE3216">
        <w:rPr>
          <w:rFonts w:ascii="Century Gothic" w:eastAsia="Times New Roman" w:hAnsi="Century Gothic"/>
          <w:sz w:val="24"/>
          <w:szCs w:val="24"/>
        </w:rPr>
        <w:lastRenderedPageBreak/>
        <w:t>P</w:t>
      </w:r>
      <w:r w:rsidR="00FE3216" w:rsidRPr="00FE3216">
        <w:rPr>
          <w:rFonts w:ascii="Century Gothic" w:eastAsia="Times New Roman" w:hAnsi="Century Gothic"/>
          <w:sz w:val="24"/>
          <w:szCs w:val="24"/>
        </w:rPr>
        <w:t>ayment of all applicable fees and expenses by the Borrower.</w:t>
      </w:r>
    </w:p>
    <w:p w14:paraId="2D3E3957" w14:textId="77777777" w:rsidR="00FE3216" w:rsidRDefault="00FE3216" w:rsidP="00790F6F">
      <w:pPr>
        <w:tabs>
          <w:tab w:val="left" w:pos="180"/>
        </w:tabs>
        <w:spacing w:line="276" w:lineRule="auto"/>
        <w:rPr>
          <w:rFonts w:ascii="Century Gothic" w:eastAsia="Times New Roman" w:hAnsi="Century Gothic"/>
          <w:b/>
          <w:sz w:val="24"/>
          <w:szCs w:val="24"/>
        </w:rPr>
      </w:pPr>
      <w:r w:rsidRPr="00FE3216">
        <w:rPr>
          <w:rFonts w:ascii="Century Gothic" w:eastAsia="Times New Roman" w:hAnsi="Century Gothic"/>
          <w:sz w:val="24"/>
          <w:szCs w:val="24"/>
        </w:rPr>
        <w:t>Receipt of an opinion of counsel to the Borrower and any bond counsel, in form and substance satisfactory to the Bank and including without limitation, due authorization, enforceability, compliance with all applicable laws, and the tax-exempt status of the Credit Facility.</w:t>
      </w:r>
    </w:p>
    <w:p w14:paraId="472A972C" w14:textId="77777777" w:rsidR="00124F9A" w:rsidRPr="00FE3216" w:rsidRDefault="00FE3216" w:rsidP="00790F6F">
      <w:pPr>
        <w:tabs>
          <w:tab w:val="left" w:pos="180"/>
        </w:tabs>
        <w:spacing w:line="276" w:lineRule="auto"/>
        <w:rPr>
          <w:rFonts w:ascii="Century Gothic" w:eastAsia="Times New Roman" w:hAnsi="Century Gothic"/>
          <w:b/>
          <w:sz w:val="24"/>
          <w:szCs w:val="24"/>
        </w:rPr>
      </w:pPr>
      <w:r w:rsidRPr="00FE3216">
        <w:rPr>
          <w:rFonts w:ascii="Century Gothic" w:eastAsia="Times New Roman" w:hAnsi="Century Gothic"/>
          <w:sz w:val="24"/>
          <w:szCs w:val="24"/>
        </w:rPr>
        <w:t>Receipt and satisfactory review by the Bank of all applicable resolutions and evidence of authority.</w:t>
      </w:r>
      <w:r>
        <w:rPr>
          <w:rFonts w:ascii="Century Gothic" w:eastAsia="Times New Roman" w:hAnsi="Century Gothic"/>
          <w:sz w:val="24"/>
          <w:szCs w:val="24"/>
        </w:rPr>
        <w:t xml:space="preserve"> </w:t>
      </w:r>
      <w:r w:rsidRPr="00FE3216">
        <w:rPr>
          <w:rFonts w:ascii="Century Gothic" w:eastAsia="Times New Roman" w:hAnsi="Century Gothic"/>
          <w:sz w:val="24"/>
          <w:szCs w:val="24"/>
        </w:rPr>
        <w:t>Approval of the LGC.</w:t>
      </w:r>
    </w:p>
    <w:p w14:paraId="47F64149" w14:textId="77777777" w:rsidR="00124F9A" w:rsidRPr="00FE3216" w:rsidRDefault="00124F9A" w:rsidP="00790F6F">
      <w:pPr>
        <w:tabs>
          <w:tab w:val="left" w:pos="180"/>
        </w:tabs>
        <w:spacing w:line="276" w:lineRule="auto"/>
        <w:rPr>
          <w:rFonts w:ascii="Century Gothic" w:eastAsia="Times New Roman" w:hAnsi="Century Gothic"/>
        </w:rPr>
      </w:pPr>
    </w:p>
    <w:p w14:paraId="4D33603D" w14:textId="77777777" w:rsidR="009245A0" w:rsidRPr="00FE3216" w:rsidRDefault="00FE3216" w:rsidP="00790F6F">
      <w:pPr>
        <w:tabs>
          <w:tab w:val="left" w:pos="180"/>
          <w:tab w:val="left" w:pos="3240"/>
        </w:tabs>
        <w:spacing w:line="276" w:lineRule="auto"/>
        <w:rPr>
          <w:rFonts w:ascii="Century Gothic" w:eastAsia="Times New Roman" w:hAnsi="Century Gothic"/>
          <w:b/>
          <w:sz w:val="28"/>
          <w:szCs w:val="28"/>
        </w:rPr>
      </w:pPr>
      <w:r w:rsidRPr="00FE3216">
        <w:rPr>
          <w:rFonts w:ascii="Century Gothic" w:eastAsia="Times New Roman" w:hAnsi="Century Gothic"/>
          <w:b/>
          <w:sz w:val="28"/>
          <w:szCs w:val="28"/>
        </w:rPr>
        <w:t xml:space="preserve">Reporting Covenants: </w:t>
      </w:r>
    </w:p>
    <w:p w14:paraId="46FFF261" w14:textId="77777777" w:rsidR="009245A0" w:rsidRPr="00FE3216" w:rsidRDefault="00FE3216" w:rsidP="00790F6F">
      <w:pPr>
        <w:tabs>
          <w:tab w:val="left" w:pos="180"/>
          <w:tab w:val="left" w:pos="3240"/>
        </w:tabs>
        <w:spacing w:line="276" w:lineRule="auto"/>
        <w:rPr>
          <w:rFonts w:ascii="Century Gothic" w:eastAsia="Times New Roman" w:hAnsi="Century Gothic"/>
          <w:b/>
          <w:sz w:val="24"/>
          <w:szCs w:val="24"/>
        </w:rPr>
      </w:pPr>
      <w:r w:rsidRPr="00FE3216">
        <w:rPr>
          <w:rFonts w:ascii="Century Gothic" w:eastAsia="Times New Roman" w:hAnsi="Century Gothic"/>
          <w:sz w:val="24"/>
          <w:szCs w:val="24"/>
        </w:rPr>
        <w:t>Annual audited financial statements of the Borrower.</w:t>
      </w:r>
    </w:p>
    <w:p w14:paraId="6402547E" w14:textId="77777777" w:rsidR="00124F9A" w:rsidRPr="00FE3216" w:rsidRDefault="00FE3216" w:rsidP="00790F6F">
      <w:pPr>
        <w:tabs>
          <w:tab w:val="left" w:pos="180"/>
          <w:tab w:val="left" w:pos="3240"/>
        </w:tabs>
        <w:spacing w:line="276" w:lineRule="auto"/>
        <w:rPr>
          <w:rFonts w:ascii="Century Gothic" w:eastAsia="Times New Roman" w:hAnsi="Century Gothic"/>
          <w:b/>
          <w:sz w:val="24"/>
          <w:szCs w:val="24"/>
        </w:rPr>
      </w:pPr>
      <w:r w:rsidRPr="00FE3216">
        <w:rPr>
          <w:rFonts w:ascii="Century Gothic" w:eastAsia="Times New Roman" w:hAnsi="Century Gothic"/>
          <w:sz w:val="24"/>
          <w:szCs w:val="24"/>
        </w:rPr>
        <w:t>Other financial information or operating reports as requested by the Bank.</w:t>
      </w:r>
    </w:p>
    <w:p w14:paraId="48705D22" w14:textId="77777777" w:rsidR="00124F9A" w:rsidRPr="00FE3216" w:rsidRDefault="00124F9A" w:rsidP="00790F6F">
      <w:pPr>
        <w:tabs>
          <w:tab w:val="left" w:pos="180"/>
        </w:tabs>
        <w:spacing w:line="276" w:lineRule="auto"/>
        <w:rPr>
          <w:rFonts w:ascii="Century Gothic" w:eastAsia="Times New Roman" w:hAnsi="Century Gothic"/>
        </w:rPr>
      </w:pPr>
    </w:p>
    <w:p w14:paraId="19B1C8C1" w14:textId="77777777" w:rsidR="009245A0" w:rsidRPr="00FE3216" w:rsidRDefault="00FE3216" w:rsidP="00790F6F">
      <w:pPr>
        <w:tabs>
          <w:tab w:val="left" w:pos="180"/>
          <w:tab w:val="left" w:pos="2500"/>
        </w:tabs>
        <w:spacing w:line="276" w:lineRule="auto"/>
        <w:rPr>
          <w:rFonts w:ascii="Century Gothic" w:eastAsia="Times New Roman" w:hAnsi="Century Gothic"/>
          <w:sz w:val="28"/>
          <w:szCs w:val="28"/>
        </w:rPr>
      </w:pPr>
      <w:r w:rsidRPr="00FE3216">
        <w:rPr>
          <w:rFonts w:ascii="Century Gothic" w:eastAsia="Times New Roman" w:hAnsi="Century Gothic"/>
          <w:b/>
          <w:sz w:val="28"/>
          <w:szCs w:val="28"/>
        </w:rPr>
        <w:t>Events of Default:</w:t>
      </w:r>
      <w:r w:rsidRPr="00FE3216">
        <w:rPr>
          <w:rFonts w:ascii="Century Gothic" w:eastAsia="Times New Roman" w:hAnsi="Century Gothic"/>
          <w:sz w:val="28"/>
          <w:szCs w:val="28"/>
        </w:rPr>
        <w:tab/>
      </w:r>
    </w:p>
    <w:p w14:paraId="546F6110" w14:textId="77777777" w:rsidR="00124F9A" w:rsidRPr="00FE3216" w:rsidRDefault="00FE3216" w:rsidP="00790F6F">
      <w:pPr>
        <w:tabs>
          <w:tab w:val="left" w:pos="180"/>
          <w:tab w:val="left" w:pos="2500"/>
        </w:tabs>
        <w:spacing w:line="276" w:lineRule="auto"/>
        <w:rPr>
          <w:rFonts w:ascii="Century Gothic" w:eastAsia="Times New Roman" w:hAnsi="Century Gothic"/>
          <w:sz w:val="24"/>
          <w:szCs w:val="24"/>
        </w:rPr>
      </w:pPr>
      <w:r w:rsidRPr="00FE3216">
        <w:rPr>
          <w:rFonts w:ascii="Century Gothic" w:eastAsia="Times New Roman" w:hAnsi="Century Gothic"/>
          <w:sz w:val="24"/>
          <w:szCs w:val="24"/>
        </w:rPr>
        <w:t>Customary for transactions of similar size and type.</w:t>
      </w:r>
    </w:p>
    <w:p w14:paraId="4FEB918E" w14:textId="77777777" w:rsidR="00124F9A" w:rsidRPr="00FE3216" w:rsidRDefault="00124F9A" w:rsidP="00790F6F">
      <w:pPr>
        <w:tabs>
          <w:tab w:val="left" w:pos="180"/>
        </w:tabs>
        <w:spacing w:line="276" w:lineRule="auto"/>
        <w:rPr>
          <w:rFonts w:ascii="Century Gothic" w:eastAsia="Times New Roman" w:hAnsi="Century Gothic"/>
        </w:rPr>
      </w:pPr>
    </w:p>
    <w:p w14:paraId="1B3BE043" w14:textId="77777777" w:rsidR="009245A0" w:rsidRPr="00FE3216" w:rsidRDefault="00FE3216" w:rsidP="00790F6F">
      <w:pPr>
        <w:tabs>
          <w:tab w:val="left" w:pos="180"/>
          <w:tab w:val="left" w:pos="2500"/>
        </w:tabs>
        <w:spacing w:line="276" w:lineRule="auto"/>
        <w:jc w:val="both"/>
        <w:rPr>
          <w:rFonts w:ascii="Century Gothic" w:eastAsia="Times New Roman" w:hAnsi="Century Gothic"/>
          <w:sz w:val="28"/>
          <w:szCs w:val="28"/>
        </w:rPr>
      </w:pPr>
      <w:r w:rsidRPr="00FE3216">
        <w:rPr>
          <w:rFonts w:ascii="Century Gothic" w:eastAsia="Times New Roman" w:hAnsi="Century Gothic"/>
          <w:b/>
          <w:sz w:val="28"/>
          <w:szCs w:val="28"/>
        </w:rPr>
        <w:t>Documentation:</w:t>
      </w:r>
      <w:r w:rsidRPr="00FE3216">
        <w:rPr>
          <w:rFonts w:ascii="Century Gothic" w:eastAsia="Times New Roman" w:hAnsi="Century Gothic"/>
          <w:sz w:val="28"/>
          <w:szCs w:val="28"/>
        </w:rPr>
        <w:tab/>
      </w:r>
    </w:p>
    <w:p w14:paraId="63171E7D" w14:textId="77777777" w:rsidR="00124F9A" w:rsidRPr="00FE3216" w:rsidRDefault="00FE3216" w:rsidP="00790F6F">
      <w:pPr>
        <w:tabs>
          <w:tab w:val="left" w:pos="180"/>
          <w:tab w:val="left" w:pos="361"/>
          <w:tab w:val="left" w:pos="900"/>
        </w:tabs>
        <w:spacing w:line="276" w:lineRule="auto"/>
        <w:jc w:val="both"/>
        <w:rPr>
          <w:rFonts w:ascii="Century Gothic" w:eastAsia="Times New Roman" w:hAnsi="Century Gothic"/>
          <w:sz w:val="24"/>
          <w:szCs w:val="24"/>
        </w:rPr>
      </w:pPr>
      <w:r w:rsidRPr="00FE3216">
        <w:rPr>
          <w:rFonts w:ascii="Century Gothic" w:eastAsia="Times New Roman" w:hAnsi="Century Gothic"/>
          <w:sz w:val="24"/>
          <w:szCs w:val="24"/>
        </w:rPr>
        <w:t>Loan Documents in form and substance satisfactory to the Bank must be executed and delivered containing representations, warranties, covenants, indemnities, conditions to lending, events of default and other provisions as are appropriate in the Bank’s opinion and specified by the Bank.</w:t>
      </w:r>
    </w:p>
    <w:p w14:paraId="08F98B70" w14:textId="77777777" w:rsidR="00124F9A" w:rsidRPr="00FE3216" w:rsidRDefault="00124F9A" w:rsidP="00790F6F">
      <w:pPr>
        <w:tabs>
          <w:tab w:val="left" w:pos="180"/>
        </w:tabs>
        <w:spacing w:line="276" w:lineRule="auto"/>
        <w:rPr>
          <w:rFonts w:ascii="Century Gothic" w:eastAsia="Times New Roman" w:hAnsi="Century Gothic"/>
        </w:rPr>
      </w:pPr>
    </w:p>
    <w:p w14:paraId="6866FBFC" w14:textId="77777777" w:rsidR="009245A0" w:rsidRPr="00FE3216" w:rsidRDefault="00FE3216" w:rsidP="00790F6F">
      <w:pPr>
        <w:tabs>
          <w:tab w:val="left" w:pos="180"/>
          <w:tab w:val="left" w:pos="2500"/>
        </w:tabs>
        <w:spacing w:line="276" w:lineRule="auto"/>
        <w:jc w:val="both"/>
        <w:rPr>
          <w:rFonts w:ascii="Century Gothic" w:eastAsia="Times New Roman" w:hAnsi="Century Gothic"/>
          <w:sz w:val="28"/>
          <w:szCs w:val="28"/>
        </w:rPr>
      </w:pPr>
      <w:r w:rsidRPr="00FE3216">
        <w:rPr>
          <w:rFonts w:ascii="Century Gothic" w:eastAsia="Times New Roman" w:hAnsi="Century Gothic"/>
          <w:b/>
          <w:sz w:val="28"/>
          <w:szCs w:val="28"/>
        </w:rPr>
        <w:t>Governing Law:</w:t>
      </w:r>
      <w:r w:rsidRPr="00FE3216">
        <w:rPr>
          <w:rFonts w:ascii="Century Gothic" w:eastAsia="Times New Roman" w:hAnsi="Century Gothic"/>
          <w:sz w:val="28"/>
          <w:szCs w:val="28"/>
        </w:rPr>
        <w:tab/>
      </w:r>
    </w:p>
    <w:p w14:paraId="51DDEA82" w14:textId="77777777" w:rsidR="00FE3216" w:rsidRDefault="00FE3216" w:rsidP="00790F6F">
      <w:pPr>
        <w:tabs>
          <w:tab w:val="left" w:pos="180"/>
          <w:tab w:val="left" w:pos="2500"/>
        </w:tabs>
        <w:spacing w:line="276" w:lineRule="auto"/>
        <w:jc w:val="both"/>
        <w:rPr>
          <w:rFonts w:ascii="Century Gothic" w:eastAsia="Times New Roman" w:hAnsi="Century Gothic"/>
          <w:sz w:val="24"/>
          <w:szCs w:val="24"/>
        </w:rPr>
      </w:pPr>
      <w:r w:rsidRPr="00FE3216">
        <w:rPr>
          <w:rFonts w:ascii="Century Gothic" w:eastAsia="Times New Roman" w:hAnsi="Century Gothic"/>
          <w:sz w:val="24"/>
          <w:szCs w:val="24"/>
        </w:rPr>
        <w:t>North Carolina. Submission to North Carolina jurisdiction. Waiver of jury trial.</w:t>
      </w:r>
      <w:bookmarkStart w:id="3" w:name="page5"/>
      <w:bookmarkEnd w:id="3"/>
    </w:p>
    <w:p w14:paraId="497A4FA6" w14:textId="77777777" w:rsidR="00FE3216" w:rsidRDefault="00FE3216" w:rsidP="00790F6F">
      <w:pPr>
        <w:tabs>
          <w:tab w:val="left" w:pos="180"/>
          <w:tab w:val="left" w:pos="2500"/>
        </w:tabs>
        <w:spacing w:line="276" w:lineRule="auto"/>
        <w:jc w:val="both"/>
        <w:rPr>
          <w:rFonts w:ascii="Century Gothic" w:eastAsia="Times New Roman" w:hAnsi="Century Gothic"/>
          <w:sz w:val="22"/>
        </w:rPr>
      </w:pPr>
    </w:p>
    <w:p w14:paraId="744E65A6" w14:textId="77777777" w:rsidR="00FE3216" w:rsidRPr="00FE3216" w:rsidRDefault="00FE3216" w:rsidP="00790F6F">
      <w:pPr>
        <w:tabs>
          <w:tab w:val="left" w:pos="180"/>
          <w:tab w:val="left" w:pos="2500"/>
        </w:tabs>
        <w:spacing w:line="276" w:lineRule="auto"/>
        <w:jc w:val="both"/>
        <w:rPr>
          <w:rFonts w:ascii="Century Gothic" w:eastAsia="Times New Roman" w:hAnsi="Century Gothic"/>
          <w:sz w:val="28"/>
          <w:szCs w:val="28"/>
        </w:rPr>
      </w:pPr>
      <w:r w:rsidRPr="00FE3216">
        <w:rPr>
          <w:rFonts w:ascii="Century Gothic" w:eastAsia="Times New Roman" w:hAnsi="Century Gothic"/>
          <w:sz w:val="24"/>
          <w:szCs w:val="22"/>
        </w:rPr>
        <w:t>By: ____________________________________</w:t>
      </w:r>
      <w:r>
        <w:rPr>
          <w:rFonts w:ascii="Century Gothic" w:eastAsia="Times New Roman" w:hAnsi="Century Gothic"/>
          <w:sz w:val="24"/>
          <w:szCs w:val="22"/>
        </w:rPr>
        <w:t>_____________________________________</w:t>
      </w:r>
    </w:p>
    <w:p w14:paraId="7E9E830B" w14:textId="77777777" w:rsidR="00FE3216" w:rsidRPr="00FE3216" w:rsidRDefault="00FE3216" w:rsidP="00790F6F">
      <w:pPr>
        <w:tabs>
          <w:tab w:val="left" w:pos="180"/>
          <w:tab w:val="left" w:pos="2500"/>
        </w:tabs>
        <w:spacing w:line="276" w:lineRule="auto"/>
        <w:jc w:val="both"/>
        <w:rPr>
          <w:rFonts w:ascii="Century Gothic" w:eastAsia="Times New Roman" w:hAnsi="Century Gothic"/>
          <w:sz w:val="28"/>
          <w:szCs w:val="28"/>
        </w:rPr>
      </w:pPr>
      <w:r w:rsidRPr="00FE3216">
        <w:rPr>
          <w:rFonts w:ascii="Century Gothic" w:eastAsia="Times New Roman" w:hAnsi="Century Gothic"/>
          <w:sz w:val="24"/>
          <w:szCs w:val="22"/>
        </w:rPr>
        <w:t>Name: _________________________________</w:t>
      </w:r>
      <w:r>
        <w:rPr>
          <w:rFonts w:ascii="Century Gothic" w:eastAsia="Times New Roman" w:hAnsi="Century Gothic"/>
          <w:sz w:val="24"/>
          <w:szCs w:val="22"/>
        </w:rPr>
        <w:t>____________________________________</w:t>
      </w:r>
    </w:p>
    <w:p w14:paraId="22163303" w14:textId="77777777" w:rsidR="00FE3216" w:rsidRPr="00FE3216" w:rsidRDefault="00FE3216" w:rsidP="00790F6F">
      <w:pPr>
        <w:tabs>
          <w:tab w:val="left" w:pos="180"/>
          <w:tab w:val="left" w:pos="2500"/>
        </w:tabs>
        <w:spacing w:line="276" w:lineRule="auto"/>
        <w:jc w:val="both"/>
        <w:rPr>
          <w:rFonts w:ascii="Century Gothic" w:eastAsia="Times New Roman" w:hAnsi="Century Gothic"/>
          <w:sz w:val="28"/>
          <w:szCs w:val="28"/>
        </w:rPr>
      </w:pPr>
      <w:r w:rsidRPr="00FE3216">
        <w:rPr>
          <w:rFonts w:ascii="Century Gothic" w:eastAsia="Times New Roman" w:hAnsi="Century Gothic"/>
          <w:sz w:val="24"/>
          <w:szCs w:val="22"/>
        </w:rPr>
        <w:t>Title: __________________________________</w:t>
      </w:r>
      <w:r>
        <w:rPr>
          <w:rFonts w:ascii="Century Gothic" w:eastAsia="Times New Roman" w:hAnsi="Century Gothic"/>
          <w:sz w:val="24"/>
          <w:szCs w:val="22"/>
        </w:rPr>
        <w:t>_____________________________________</w:t>
      </w:r>
    </w:p>
    <w:p w14:paraId="48AFB0DD" w14:textId="77777777" w:rsidR="00124F9A" w:rsidRDefault="00FE3216" w:rsidP="00790F6F">
      <w:pPr>
        <w:tabs>
          <w:tab w:val="left" w:pos="180"/>
          <w:tab w:val="left" w:pos="2500"/>
        </w:tabs>
        <w:spacing w:line="276" w:lineRule="auto"/>
        <w:jc w:val="both"/>
        <w:rPr>
          <w:rFonts w:ascii="Century Gothic" w:eastAsia="Times New Roman" w:hAnsi="Century Gothic"/>
          <w:sz w:val="24"/>
          <w:szCs w:val="22"/>
        </w:rPr>
      </w:pPr>
      <w:r w:rsidRPr="00FE3216">
        <w:rPr>
          <w:rFonts w:ascii="Century Gothic" w:eastAsia="Times New Roman" w:hAnsi="Century Gothic"/>
          <w:sz w:val="24"/>
          <w:szCs w:val="22"/>
        </w:rPr>
        <w:t>Date: __________________________________</w:t>
      </w:r>
      <w:r>
        <w:rPr>
          <w:rFonts w:ascii="Century Gothic" w:eastAsia="Times New Roman" w:hAnsi="Century Gothic"/>
          <w:sz w:val="24"/>
          <w:szCs w:val="22"/>
        </w:rPr>
        <w:t>____________________________________</w:t>
      </w:r>
    </w:p>
    <w:p w14:paraId="1720DFA9" w14:textId="77777777" w:rsidR="00124F9A" w:rsidRPr="00FE3216" w:rsidRDefault="00124F9A" w:rsidP="00790F6F">
      <w:pPr>
        <w:tabs>
          <w:tab w:val="left" w:pos="180"/>
        </w:tabs>
        <w:spacing w:line="276" w:lineRule="auto"/>
        <w:jc w:val="center"/>
        <w:rPr>
          <w:rFonts w:ascii="Century Gothic" w:eastAsia="Times New Roman" w:hAnsi="Century Gothic"/>
        </w:rPr>
        <w:sectPr w:rsidR="00124F9A" w:rsidRPr="00FE3216" w:rsidSect="00790F6F">
          <w:footerReference w:type="default" r:id="rId8"/>
          <w:type w:val="continuous"/>
          <w:pgSz w:w="12240" w:h="15840"/>
          <w:pgMar w:top="1440" w:right="1080" w:bottom="1440" w:left="1080" w:header="0" w:footer="720" w:gutter="0"/>
          <w:cols w:space="0" w:equalWidth="0">
            <w:col w:w="9900"/>
          </w:cols>
          <w:docGrid w:linePitch="360"/>
        </w:sectPr>
      </w:pPr>
    </w:p>
    <w:p w14:paraId="633113E9" w14:textId="77777777" w:rsidR="00124F9A" w:rsidRPr="00FE3216" w:rsidRDefault="00FE3216" w:rsidP="00790F6F">
      <w:pPr>
        <w:tabs>
          <w:tab w:val="left" w:pos="180"/>
        </w:tabs>
        <w:spacing w:line="276" w:lineRule="auto"/>
        <w:jc w:val="center"/>
        <w:rPr>
          <w:rFonts w:ascii="Century Gothic" w:eastAsia="Times New Roman" w:hAnsi="Century Gothic"/>
          <w:b/>
          <w:sz w:val="24"/>
          <w:szCs w:val="22"/>
        </w:rPr>
      </w:pPr>
      <w:bookmarkStart w:id="4" w:name="page6"/>
      <w:bookmarkEnd w:id="4"/>
      <w:r w:rsidRPr="00FE3216">
        <w:rPr>
          <w:rFonts w:ascii="Century Gothic" w:eastAsia="Times New Roman" w:hAnsi="Century Gothic"/>
          <w:b/>
          <w:sz w:val="24"/>
          <w:szCs w:val="22"/>
        </w:rPr>
        <w:lastRenderedPageBreak/>
        <w:t>Appendix 1: Debt Service Schedule</w:t>
      </w:r>
    </w:p>
    <w:p w14:paraId="6CD5B05A" w14:textId="77777777" w:rsidR="00124F9A" w:rsidRPr="00FE3216" w:rsidRDefault="00124F9A" w:rsidP="00790F6F">
      <w:pPr>
        <w:tabs>
          <w:tab w:val="left" w:pos="180"/>
        </w:tabs>
        <w:spacing w:line="276" w:lineRule="auto"/>
        <w:rPr>
          <w:rFonts w:ascii="Century Gothic" w:eastAsia="Times New Roman" w:hAnsi="Century Gothic"/>
        </w:rPr>
      </w:pPr>
    </w:p>
    <w:tbl>
      <w:tblPr>
        <w:tblStyle w:val="TableGridLight"/>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1297"/>
        <w:gridCol w:w="200"/>
        <w:gridCol w:w="400"/>
        <w:gridCol w:w="1647"/>
        <w:gridCol w:w="400"/>
        <w:gridCol w:w="1672"/>
        <w:gridCol w:w="400"/>
        <w:gridCol w:w="1647"/>
        <w:gridCol w:w="425"/>
        <w:gridCol w:w="1622"/>
      </w:tblGrid>
      <w:tr w:rsidR="00124F9A" w:rsidRPr="00FE3216" w14:paraId="1BBDB1F1" w14:textId="77777777" w:rsidTr="00790F6F">
        <w:trPr>
          <w:trHeight w:val="294"/>
        </w:trPr>
        <w:tc>
          <w:tcPr>
            <w:tcW w:w="668" w:type="pct"/>
            <w:vAlign w:val="center"/>
          </w:tcPr>
          <w:p w14:paraId="5CDB5D50" w14:textId="77777777" w:rsidR="00124F9A" w:rsidRPr="00FE3216" w:rsidRDefault="00FE3216" w:rsidP="00790F6F">
            <w:pPr>
              <w:tabs>
                <w:tab w:val="left" w:pos="180"/>
              </w:tabs>
              <w:spacing w:line="276" w:lineRule="auto"/>
              <w:jc w:val="center"/>
              <w:rPr>
                <w:rFonts w:ascii="Century Gothic" w:eastAsia="Times New Roman" w:hAnsi="Century Gothic"/>
                <w:b/>
                <w:w w:val="99"/>
              </w:rPr>
            </w:pPr>
            <w:r w:rsidRPr="00FE3216">
              <w:rPr>
                <w:rFonts w:ascii="Century Gothic" w:eastAsia="Times New Roman" w:hAnsi="Century Gothic"/>
                <w:b/>
                <w:w w:val="99"/>
              </w:rPr>
              <w:t>Date</w:t>
            </w:r>
          </w:p>
        </w:tc>
        <w:tc>
          <w:tcPr>
            <w:tcW w:w="103" w:type="pct"/>
            <w:vAlign w:val="center"/>
          </w:tcPr>
          <w:p w14:paraId="6697A033"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1054" w:type="pct"/>
            <w:gridSpan w:val="2"/>
            <w:vAlign w:val="center"/>
          </w:tcPr>
          <w:p w14:paraId="61E9B212" w14:textId="77777777" w:rsidR="00124F9A" w:rsidRPr="00FE3216" w:rsidRDefault="00FE3216" w:rsidP="00790F6F">
            <w:pPr>
              <w:tabs>
                <w:tab w:val="left" w:pos="180"/>
              </w:tabs>
              <w:spacing w:line="276" w:lineRule="auto"/>
              <w:jc w:val="center"/>
              <w:rPr>
                <w:rFonts w:ascii="Century Gothic" w:eastAsia="Times New Roman" w:hAnsi="Century Gothic"/>
                <w:b/>
              </w:rPr>
            </w:pPr>
            <w:r w:rsidRPr="00FE3216">
              <w:rPr>
                <w:rFonts w:ascii="Century Gothic" w:eastAsia="Times New Roman" w:hAnsi="Century Gothic"/>
                <w:b/>
              </w:rPr>
              <w:t>Outstanding</w:t>
            </w:r>
          </w:p>
        </w:tc>
        <w:tc>
          <w:tcPr>
            <w:tcW w:w="206" w:type="pct"/>
            <w:vAlign w:val="center"/>
          </w:tcPr>
          <w:p w14:paraId="5D614BCE"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861" w:type="pct"/>
            <w:vAlign w:val="center"/>
          </w:tcPr>
          <w:p w14:paraId="78A613EB" w14:textId="77777777" w:rsidR="00124F9A" w:rsidRPr="00FE3216" w:rsidRDefault="00FE3216" w:rsidP="00790F6F">
            <w:pPr>
              <w:tabs>
                <w:tab w:val="left" w:pos="180"/>
              </w:tabs>
              <w:spacing w:line="276" w:lineRule="auto"/>
              <w:jc w:val="center"/>
              <w:rPr>
                <w:rFonts w:ascii="Century Gothic" w:eastAsia="Times New Roman" w:hAnsi="Century Gothic"/>
                <w:b/>
              </w:rPr>
            </w:pPr>
            <w:r w:rsidRPr="00FE3216">
              <w:rPr>
                <w:rFonts w:ascii="Century Gothic" w:eastAsia="Times New Roman" w:hAnsi="Century Gothic"/>
                <w:b/>
              </w:rPr>
              <w:t>Principal</w:t>
            </w:r>
          </w:p>
        </w:tc>
        <w:tc>
          <w:tcPr>
            <w:tcW w:w="206" w:type="pct"/>
            <w:vAlign w:val="center"/>
          </w:tcPr>
          <w:p w14:paraId="165728C4"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848" w:type="pct"/>
            <w:vAlign w:val="center"/>
          </w:tcPr>
          <w:p w14:paraId="28C3AD90" w14:textId="77777777" w:rsidR="00124F9A" w:rsidRPr="00FE3216" w:rsidRDefault="00FE3216" w:rsidP="00790F6F">
            <w:pPr>
              <w:tabs>
                <w:tab w:val="left" w:pos="180"/>
              </w:tabs>
              <w:spacing w:line="276" w:lineRule="auto"/>
              <w:jc w:val="center"/>
              <w:rPr>
                <w:rFonts w:ascii="Century Gothic" w:eastAsia="Times New Roman" w:hAnsi="Century Gothic"/>
                <w:b/>
              </w:rPr>
            </w:pPr>
            <w:proofErr w:type="spellStart"/>
            <w:r w:rsidRPr="00FE3216">
              <w:rPr>
                <w:rFonts w:ascii="Century Gothic" w:eastAsia="Times New Roman" w:hAnsi="Century Gothic"/>
                <w:b/>
              </w:rPr>
              <w:t>Inte</w:t>
            </w:r>
            <w:proofErr w:type="spellEnd"/>
            <w:r w:rsidRPr="00FE3216">
              <w:rPr>
                <w:rFonts w:ascii="Century Gothic" w:eastAsia="Times New Roman" w:hAnsi="Century Gothic"/>
                <w:b/>
              </w:rPr>
              <w:t xml:space="preserve"> re </w:t>
            </w:r>
            <w:proofErr w:type="spellStart"/>
            <w:r w:rsidRPr="00FE3216">
              <w:rPr>
                <w:rFonts w:ascii="Century Gothic" w:eastAsia="Times New Roman" w:hAnsi="Century Gothic"/>
                <w:b/>
              </w:rPr>
              <w:t>st</w:t>
            </w:r>
            <w:proofErr w:type="spellEnd"/>
          </w:p>
        </w:tc>
        <w:tc>
          <w:tcPr>
            <w:tcW w:w="1054" w:type="pct"/>
            <w:gridSpan w:val="2"/>
            <w:vAlign w:val="center"/>
          </w:tcPr>
          <w:p w14:paraId="75E6364A" w14:textId="77777777" w:rsidR="00124F9A" w:rsidRPr="00FE3216" w:rsidRDefault="00FE3216" w:rsidP="00790F6F">
            <w:pPr>
              <w:tabs>
                <w:tab w:val="left" w:pos="180"/>
              </w:tabs>
              <w:spacing w:line="276" w:lineRule="auto"/>
              <w:jc w:val="center"/>
              <w:rPr>
                <w:rFonts w:ascii="Century Gothic" w:eastAsia="Times New Roman" w:hAnsi="Century Gothic"/>
                <w:b/>
              </w:rPr>
            </w:pPr>
            <w:r w:rsidRPr="00FE3216">
              <w:rPr>
                <w:rFonts w:ascii="Century Gothic" w:eastAsia="Times New Roman" w:hAnsi="Century Gothic"/>
                <w:b/>
              </w:rPr>
              <w:t>Debt Service</w:t>
            </w:r>
          </w:p>
        </w:tc>
      </w:tr>
      <w:tr w:rsidR="00124F9A" w:rsidRPr="00FE3216" w14:paraId="532AC336" w14:textId="77777777" w:rsidTr="00790F6F">
        <w:trPr>
          <w:trHeight w:val="280"/>
        </w:trPr>
        <w:tc>
          <w:tcPr>
            <w:tcW w:w="668" w:type="pct"/>
            <w:vAlign w:val="center"/>
          </w:tcPr>
          <w:p w14:paraId="5760242B" w14:textId="77777777" w:rsidR="00124F9A" w:rsidRPr="00FE3216" w:rsidRDefault="00FE3216" w:rsidP="00790F6F">
            <w:pPr>
              <w:tabs>
                <w:tab w:val="left" w:pos="180"/>
              </w:tabs>
              <w:spacing w:line="276" w:lineRule="auto"/>
              <w:jc w:val="center"/>
              <w:rPr>
                <w:rFonts w:ascii="Century Gothic" w:eastAsia="Times New Roman" w:hAnsi="Century Gothic"/>
                <w:w w:val="96"/>
              </w:rPr>
            </w:pPr>
            <w:r w:rsidRPr="00FE3216">
              <w:rPr>
                <w:rFonts w:ascii="Century Gothic" w:eastAsia="Times New Roman" w:hAnsi="Century Gothic"/>
                <w:w w:val="96"/>
              </w:rPr>
              <w:t>4/30/2019</w:t>
            </w:r>
          </w:p>
        </w:tc>
        <w:tc>
          <w:tcPr>
            <w:tcW w:w="103" w:type="pct"/>
            <w:vAlign w:val="center"/>
          </w:tcPr>
          <w:p w14:paraId="1E58799D"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433E3668"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44B9FA5D"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5,500,000.00</w:t>
            </w:r>
          </w:p>
        </w:tc>
        <w:tc>
          <w:tcPr>
            <w:tcW w:w="206" w:type="pct"/>
            <w:vAlign w:val="center"/>
          </w:tcPr>
          <w:p w14:paraId="2DC69FA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37E853D0"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206" w:type="pct"/>
            <w:vAlign w:val="center"/>
          </w:tcPr>
          <w:p w14:paraId="66E43398"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5B9C30A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219" w:type="pct"/>
            <w:vAlign w:val="center"/>
          </w:tcPr>
          <w:p w14:paraId="12042A40"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44D5A514"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r>
      <w:tr w:rsidR="00124F9A" w:rsidRPr="00FE3216" w14:paraId="74CEF86E" w14:textId="77777777" w:rsidTr="00790F6F">
        <w:trPr>
          <w:trHeight w:val="279"/>
        </w:trPr>
        <w:tc>
          <w:tcPr>
            <w:tcW w:w="668" w:type="pct"/>
            <w:vAlign w:val="center"/>
          </w:tcPr>
          <w:p w14:paraId="2A8FCB61" w14:textId="77777777" w:rsidR="00124F9A" w:rsidRPr="00FE3216" w:rsidRDefault="00FE3216" w:rsidP="00790F6F">
            <w:pPr>
              <w:tabs>
                <w:tab w:val="left" w:pos="180"/>
              </w:tabs>
              <w:spacing w:line="276" w:lineRule="auto"/>
              <w:jc w:val="center"/>
              <w:rPr>
                <w:rFonts w:ascii="Century Gothic" w:eastAsia="Times New Roman" w:hAnsi="Century Gothic"/>
                <w:w w:val="96"/>
              </w:rPr>
            </w:pPr>
            <w:r w:rsidRPr="00FE3216">
              <w:rPr>
                <w:rFonts w:ascii="Century Gothic" w:eastAsia="Times New Roman" w:hAnsi="Century Gothic"/>
                <w:w w:val="96"/>
              </w:rPr>
              <w:t>11/1/2019</w:t>
            </w:r>
          </w:p>
        </w:tc>
        <w:tc>
          <w:tcPr>
            <w:tcW w:w="103" w:type="pct"/>
            <w:vAlign w:val="center"/>
          </w:tcPr>
          <w:p w14:paraId="697A1D21"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0CBC737A"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34A6C5CB"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5,107,142.85</w:t>
            </w:r>
          </w:p>
        </w:tc>
        <w:tc>
          <w:tcPr>
            <w:tcW w:w="206" w:type="pct"/>
            <w:vAlign w:val="center"/>
          </w:tcPr>
          <w:p w14:paraId="7CFED89B"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57C8A6A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392,857.15</w:t>
            </w:r>
          </w:p>
        </w:tc>
        <w:tc>
          <w:tcPr>
            <w:tcW w:w="206" w:type="pct"/>
            <w:vAlign w:val="center"/>
          </w:tcPr>
          <w:p w14:paraId="47AEF1C5"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1D7DF1E1"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75,768.61</w:t>
            </w:r>
          </w:p>
        </w:tc>
        <w:tc>
          <w:tcPr>
            <w:tcW w:w="219" w:type="pct"/>
            <w:vAlign w:val="center"/>
          </w:tcPr>
          <w:p w14:paraId="03B4FA04"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50E8248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468,625.76</w:t>
            </w:r>
          </w:p>
        </w:tc>
      </w:tr>
      <w:tr w:rsidR="00124F9A" w:rsidRPr="00FE3216" w14:paraId="20F49A38" w14:textId="77777777" w:rsidTr="00790F6F">
        <w:trPr>
          <w:trHeight w:val="301"/>
        </w:trPr>
        <w:tc>
          <w:tcPr>
            <w:tcW w:w="668" w:type="pct"/>
            <w:vAlign w:val="center"/>
          </w:tcPr>
          <w:p w14:paraId="431D918A" w14:textId="77777777" w:rsidR="00124F9A" w:rsidRPr="00FE3216" w:rsidRDefault="00FE3216" w:rsidP="00790F6F">
            <w:pPr>
              <w:tabs>
                <w:tab w:val="left" w:pos="180"/>
              </w:tabs>
              <w:spacing w:line="276" w:lineRule="auto"/>
              <w:jc w:val="center"/>
              <w:rPr>
                <w:rFonts w:ascii="Century Gothic" w:eastAsia="Times New Roman" w:hAnsi="Century Gothic"/>
                <w:w w:val="97"/>
              </w:rPr>
            </w:pPr>
            <w:r w:rsidRPr="00FE3216">
              <w:rPr>
                <w:rFonts w:ascii="Century Gothic" w:eastAsia="Times New Roman" w:hAnsi="Century Gothic"/>
                <w:w w:val="97"/>
              </w:rPr>
              <w:t>5/1/2020</w:t>
            </w:r>
          </w:p>
        </w:tc>
        <w:tc>
          <w:tcPr>
            <w:tcW w:w="103" w:type="pct"/>
            <w:vAlign w:val="center"/>
          </w:tcPr>
          <w:p w14:paraId="60654574"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282669A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64B0F952"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4,714,285.70</w:t>
            </w:r>
          </w:p>
        </w:tc>
        <w:tc>
          <w:tcPr>
            <w:tcW w:w="206" w:type="pct"/>
            <w:vAlign w:val="center"/>
          </w:tcPr>
          <w:p w14:paraId="7459B912"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311DD22A"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392,857.15</w:t>
            </w:r>
          </w:p>
        </w:tc>
        <w:tc>
          <w:tcPr>
            <w:tcW w:w="206" w:type="pct"/>
            <w:vAlign w:val="center"/>
          </w:tcPr>
          <w:p w14:paraId="60145B04"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07F4866B"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69,967.86</w:t>
            </w:r>
          </w:p>
        </w:tc>
        <w:tc>
          <w:tcPr>
            <w:tcW w:w="219" w:type="pct"/>
            <w:vAlign w:val="center"/>
          </w:tcPr>
          <w:p w14:paraId="4AD561C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7715F8B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462,825.01</w:t>
            </w:r>
          </w:p>
        </w:tc>
      </w:tr>
      <w:tr w:rsidR="00124F9A" w:rsidRPr="00FE3216" w14:paraId="2C0F62E4" w14:textId="77777777" w:rsidTr="00790F6F">
        <w:trPr>
          <w:trHeight w:val="279"/>
        </w:trPr>
        <w:tc>
          <w:tcPr>
            <w:tcW w:w="668" w:type="pct"/>
            <w:vAlign w:val="center"/>
          </w:tcPr>
          <w:p w14:paraId="62CD204C" w14:textId="77777777" w:rsidR="00124F9A" w:rsidRPr="00FE3216" w:rsidRDefault="00FE3216" w:rsidP="00790F6F">
            <w:pPr>
              <w:tabs>
                <w:tab w:val="left" w:pos="180"/>
              </w:tabs>
              <w:spacing w:line="276" w:lineRule="auto"/>
              <w:jc w:val="center"/>
              <w:rPr>
                <w:rFonts w:ascii="Century Gothic" w:eastAsia="Times New Roman" w:hAnsi="Century Gothic"/>
                <w:w w:val="96"/>
              </w:rPr>
            </w:pPr>
            <w:r w:rsidRPr="00FE3216">
              <w:rPr>
                <w:rFonts w:ascii="Century Gothic" w:eastAsia="Times New Roman" w:hAnsi="Century Gothic"/>
                <w:w w:val="96"/>
              </w:rPr>
              <w:t>11/1/2020</w:t>
            </w:r>
          </w:p>
        </w:tc>
        <w:tc>
          <w:tcPr>
            <w:tcW w:w="103" w:type="pct"/>
            <w:vAlign w:val="center"/>
          </w:tcPr>
          <w:p w14:paraId="725CE829"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714363F4"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415E799B"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4,321,428.55</w:t>
            </w:r>
          </w:p>
        </w:tc>
        <w:tc>
          <w:tcPr>
            <w:tcW w:w="206" w:type="pct"/>
            <w:vAlign w:val="center"/>
          </w:tcPr>
          <w:p w14:paraId="606C13C9"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2D3FF61D"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392,857.15</w:t>
            </w:r>
          </w:p>
        </w:tc>
        <w:tc>
          <w:tcPr>
            <w:tcW w:w="206" w:type="pct"/>
            <w:vAlign w:val="center"/>
          </w:tcPr>
          <w:p w14:paraId="09D18630"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46159623"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64,585.71</w:t>
            </w:r>
          </w:p>
        </w:tc>
        <w:tc>
          <w:tcPr>
            <w:tcW w:w="219" w:type="pct"/>
            <w:vAlign w:val="center"/>
          </w:tcPr>
          <w:p w14:paraId="452D871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7EA571E5"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457,442.86</w:t>
            </w:r>
          </w:p>
        </w:tc>
      </w:tr>
      <w:tr w:rsidR="00124F9A" w:rsidRPr="00FE3216" w14:paraId="572A0EFD" w14:textId="77777777" w:rsidTr="00790F6F">
        <w:trPr>
          <w:trHeight w:val="301"/>
        </w:trPr>
        <w:tc>
          <w:tcPr>
            <w:tcW w:w="668" w:type="pct"/>
            <w:vAlign w:val="center"/>
          </w:tcPr>
          <w:p w14:paraId="655192AD" w14:textId="77777777" w:rsidR="00124F9A" w:rsidRPr="00FE3216" w:rsidRDefault="00FE3216" w:rsidP="00790F6F">
            <w:pPr>
              <w:tabs>
                <w:tab w:val="left" w:pos="180"/>
              </w:tabs>
              <w:spacing w:line="276" w:lineRule="auto"/>
              <w:jc w:val="center"/>
              <w:rPr>
                <w:rFonts w:ascii="Century Gothic" w:eastAsia="Times New Roman" w:hAnsi="Century Gothic"/>
                <w:w w:val="97"/>
              </w:rPr>
            </w:pPr>
            <w:r w:rsidRPr="00FE3216">
              <w:rPr>
                <w:rFonts w:ascii="Century Gothic" w:eastAsia="Times New Roman" w:hAnsi="Century Gothic"/>
                <w:w w:val="97"/>
              </w:rPr>
              <w:t>5/1/2021</w:t>
            </w:r>
          </w:p>
        </w:tc>
        <w:tc>
          <w:tcPr>
            <w:tcW w:w="103" w:type="pct"/>
            <w:vAlign w:val="center"/>
          </w:tcPr>
          <w:p w14:paraId="0574EC7D"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71A131A0"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4FF9CC7F"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3,928,571.40</w:t>
            </w:r>
          </w:p>
        </w:tc>
        <w:tc>
          <w:tcPr>
            <w:tcW w:w="206" w:type="pct"/>
            <w:vAlign w:val="center"/>
          </w:tcPr>
          <w:p w14:paraId="3D270A44"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1DC19C49"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392,857.15</w:t>
            </w:r>
          </w:p>
        </w:tc>
        <w:tc>
          <w:tcPr>
            <w:tcW w:w="206" w:type="pct"/>
            <w:vAlign w:val="center"/>
          </w:tcPr>
          <w:p w14:paraId="27955E3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284CE2BD"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59,203.57</w:t>
            </w:r>
          </w:p>
        </w:tc>
        <w:tc>
          <w:tcPr>
            <w:tcW w:w="219" w:type="pct"/>
            <w:vAlign w:val="center"/>
          </w:tcPr>
          <w:p w14:paraId="28A33651"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18678A1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452,060.72</w:t>
            </w:r>
          </w:p>
        </w:tc>
      </w:tr>
      <w:tr w:rsidR="00124F9A" w:rsidRPr="00FE3216" w14:paraId="35A2B2CD" w14:textId="77777777" w:rsidTr="00790F6F">
        <w:trPr>
          <w:trHeight w:val="279"/>
        </w:trPr>
        <w:tc>
          <w:tcPr>
            <w:tcW w:w="668" w:type="pct"/>
            <w:vAlign w:val="center"/>
          </w:tcPr>
          <w:p w14:paraId="038DF04E" w14:textId="77777777" w:rsidR="00124F9A" w:rsidRPr="00FE3216" w:rsidRDefault="00FE3216" w:rsidP="00790F6F">
            <w:pPr>
              <w:tabs>
                <w:tab w:val="left" w:pos="180"/>
              </w:tabs>
              <w:spacing w:line="276" w:lineRule="auto"/>
              <w:jc w:val="center"/>
              <w:rPr>
                <w:rFonts w:ascii="Century Gothic" w:eastAsia="Times New Roman" w:hAnsi="Century Gothic"/>
                <w:w w:val="96"/>
              </w:rPr>
            </w:pPr>
            <w:r w:rsidRPr="00FE3216">
              <w:rPr>
                <w:rFonts w:ascii="Century Gothic" w:eastAsia="Times New Roman" w:hAnsi="Century Gothic"/>
                <w:w w:val="96"/>
              </w:rPr>
              <w:t>11/1/2021</w:t>
            </w:r>
          </w:p>
        </w:tc>
        <w:tc>
          <w:tcPr>
            <w:tcW w:w="103" w:type="pct"/>
            <w:vAlign w:val="center"/>
          </w:tcPr>
          <w:p w14:paraId="7748A57E"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3901C5B7"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140AC989"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3,535,714.26</w:t>
            </w:r>
          </w:p>
        </w:tc>
        <w:tc>
          <w:tcPr>
            <w:tcW w:w="206" w:type="pct"/>
            <w:vAlign w:val="center"/>
          </w:tcPr>
          <w:p w14:paraId="7CE24E41"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10E10A61"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2457DAF8"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59782A9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53,821.43</w:t>
            </w:r>
          </w:p>
        </w:tc>
        <w:tc>
          <w:tcPr>
            <w:tcW w:w="219" w:type="pct"/>
            <w:vAlign w:val="center"/>
          </w:tcPr>
          <w:p w14:paraId="7207D706"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31D0E30A"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446,678.57</w:t>
            </w:r>
          </w:p>
        </w:tc>
      </w:tr>
      <w:tr w:rsidR="00124F9A" w:rsidRPr="00FE3216" w14:paraId="0FF7DCA2" w14:textId="77777777" w:rsidTr="00790F6F">
        <w:trPr>
          <w:trHeight w:val="301"/>
        </w:trPr>
        <w:tc>
          <w:tcPr>
            <w:tcW w:w="668" w:type="pct"/>
            <w:vAlign w:val="center"/>
          </w:tcPr>
          <w:p w14:paraId="3DB236D8" w14:textId="77777777" w:rsidR="00124F9A" w:rsidRPr="00FE3216" w:rsidRDefault="00FE3216" w:rsidP="00790F6F">
            <w:pPr>
              <w:tabs>
                <w:tab w:val="left" w:pos="180"/>
              </w:tabs>
              <w:spacing w:line="276" w:lineRule="auto"/>
              <w:jc w:val="center"/>
              <w:rPr>
                <w:rFonts w:ascii="Century Gothic" w:eastAsia="Times New Roman" w:hAnsi="Century Gothic"/>
                <w:w w:val="97"/>
              </w:rPr>
            </w:pPr>
            <w:r w:rsidRPr="00FE3216">
              <w:rPr>
                <w:rFonts w:ascii="Century Gothic" w:eastAsia="Times New Roman" w:hAnsi="Century Gothic"/>
                <w:w w:val="97"/>
              </w:rPr>
              <w:t>5/1/2022</w:t>
            </w:r>
          </w:p>
        </w:tc>
        <w:tc>
          <w:tcPr>
            <w:tcW w:w="103" w:type="pct"/>
            <w:vAlign w:val="center"/>
          </w:tcPr>
          <w:p w14:paraId="78EEC42C"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7AE8C5AA"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4EF40A5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3,142,857.12</w:t>
            </w:r>
          </w:p>
        </w:tc>
        <w:tc>
          <w:tcPr>
            <w:tcW w:w="206" w:type="pct"/>
            <w:vAlign w:val="center"/>
          </w:tcPr>
          <w:p w14:paraId="033E5227"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08E256C5"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6E278AA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7DFFE7C6"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48,439.29</w:t>
            </w:r>
          </w:p>
        </w:tc>
        <w:tc>
          <w:tcPr>
            <w:tcW w:w="219" w:type="pct"/>
            <w:vAlign w:val="center"/>
          </w:tcPr>
          <w:p w14:paraId="5D6B9F39"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04C83723"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441,296.43</w:t>
            </w:r>
          </w:p>
        </w:tc>
      </w:tr>
      <w:tr w:rsidR="00124F9A" w:rsidRPr="00FE3216" w14:paraId="7CE33B50" w14:textId="77777777" w:rsidTr="00790F6F">
        <w:trPr>
          <w:trHeight w:val="279"/>
        </w:trPr>
        <w:tc>
          <w:tcPr>
            <w:tcW w:w="668" w:type="pct"/>
            <w:vAlign w:val="center"/>
          </w:tcPr>
          <w:p w14:paraId="32D7FF0E" w14:textId="77777777" w:rsidR="00124F9A" w:rsidRPr="00FE3216" w:rsidRDefault="00FE3216" w:rsidP="00790F6F">
            <w:pPr>
              <w:tabs>
                <w:tab w:val="left" w:pos="180"/>
              </w:tabs>
              <w:spacing w:line="276" w:lineRule="auto"/>
              <w:jc w:val="center"/>
              <w:rPr>
                <w:rFonts w:ascii="Century Gothic" w:eastAsia="Times New Roman" w:hAnsi="Century Gothic"/>
                <w:w w:val="96"/>
              </w:rPr>
            </w:pPr>
            <w:r w:rsidRPr="00FE3216">
              <w:rPr>
                <w:rFonts w:ascii="Century Gothic" w:eastAsia="Times New Roman" w:hAnsi="Century Gothic"/>
                <w:w w:val="96"/>
              </w:rPr>
              <w:t>11/1/2022</w:t>
            </w:r>
          </w:p>
        </w:tc>
        <w:tc>
          <w:tcPr>
            <w:tcW w:w="103" w:type="pct"/>
            <w:vAlign w:val="center"/>
          </w:tcPr>
          <w:p w14:paraId="23608B83"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49D4E8BF"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07F1BE28"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2,749,999.98</w:t>
            </w:r>
          </w:p>
        </w:tc>
        <w:tc>
          <w:tcPr>
            <w:tcW w:w="206" w:type="pct"/>
            <w:vAlign w:val="center"/>
          </w:tcPr>
          <w:p w14:paraId="6018C50B"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314C1FE6"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5070796B"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05EEE6ED"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43,057.14</w:t>
            </w:r>
          </w:p>
        </w:tc>
        <w:tc>
          <w:tcPr>
            <w:tcW w:w="219" w:type="pct"/>
            <w:vAlign w:val="center"/>
          </w:tcPr>
          <w:p w14:paraId="391DB889"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443D4094"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435,914.28</w:t>
            </w:r>
          </w:p>
        </w:tc>
      </w:tr>
      <w:tr w:rsidR="00124F9A" w:rsidRPr="00FE3216" w14:paraId="3CE51772" w14:textId="77777777" w:rsidTr="00790F6F">
        <w:trPr>
          <w:trHeight w:val="301"/>
        </w:trPr>
        <w:tc>
          <w:tcPr>
            <w:tcW w:w="668" w:type="pct"/>
            <w:vAlign w:val="center"/>
          </w:tcPr>
          <w:p w14:paraId="34676C31" w14:textId="77777777" w:rsidR="00124F9A" w:rsidRPr="00FE3216" w:rsidRDefault="00FE3216" w:rsidP="00790F6F">
            <w:pPr>
              <w:tabs>
                <w:tab w:val="left" w:pos="180"/>
              </w:tabs>
              <w:spacing w:line="276" w:lineRule="auto"/>
              <w:jc w:val="center"/>
              <w:rPr>
                <w:rFonts w:ascii="Century Gothic" w:eastAsia="Times New Roman" w:hAnsi="Century Gothic"/>
                <w:w w:val="97"/>
              </w:rPr>
            </w:pPr>
            <w:r w:rsidRPr="00FE3216">
              <w:rPr>
                <w:rFonts w:ascii="Century Gothic" w:eastAsia="Times New Roman" w:hAnsi="Century Gothic"/>
                <w:w w:val="97"/>
              </w:rPr>
              <w:t>5/1/2023</w:t>
            </w:r>
          </w:p>
        </w:tc>
        <w:tc>
          <w:tcPr>
            <w:tcW w:w="103" w:type="pct"/>
            <w:vAlign w:val="center"/>
          </w:tcPr>
          <w:p w14:paraId="7EAE5EA7"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0272181F"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6E13FCA7"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2,357,142.84</w:t>
            </w:r>
          </w:p>
        </w:tc>
        <w:tc>
          <w:tcPr>
            <w:tcW w:w="206" w:type="pct"/>
            <w:vAlign w:val="center"/>
          </w:tcPr>
          <w:p w14:paraId="0FD096FF"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503D76A6"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60FD991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7BE7F36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37,675.00</w:t>
            </w:r>
          </w:p>
        </w:tc>
        <w:tc>
          <w:tcPr>
            <w:tcW w:w="219" w:type="pct"/>
            <w:vAlign w:val="center"/>
          </w:tcPr>
          <w:p w14:paraId="0C72B382"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275D2F1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430,532.14</w:t>
            </w:r>
          </w:p>
        </w:tc>
      </w:tr>
      <w:tr w:rsidR="00124F9A" w:rsidRPr="00FE3216" w14:paraId="60C56FD1" w14:textId="77777777" w:rsidTr="00790F6F">
        <w:trPr>
          <w:trHeight w:val="279"/>
        </w:trPr>
        <w:tc>
          <w:tcPr>
            <w:tcW w:w="668" w:type="pct"/>
            <w:vAlign w:val="center"/>
          </w:tcPr>
          <w:p w14:paraId="3BC134D3" w14:textId="77777777" w:rsidR="00124F9A" w:rsidRPr="00FE3216" w:rsidRDefault="00FE3216" w:rsidP="00790F6F">
            <w:pPr>
              <w:tabs>
                <w:tab w:val="left" w:pos="180"/>
              </w:tabs>
              <w:spacing w:line="276" w:lineRule="auto"/>
              <w:jc w:val="center"/>
              <w:rPr>
                <w:rFonts w:ascii="Century Gothic" w:eastAsia="Times New Roman" w:hAnsi="Century Gothic"/>
                <w:w w:val="96"/>
              </w:rPr>
            </w:pPr>
            <w:r w:rsidRPr="00FE3216">
              <w:rPr>
                <w:rFonts w:ascii="Century Gothic" w:eastAsia="Times New Roman" w:hAnsi="Century Gothic"/>
                <w:w w:val="96"/>
              </w:rPr>
              <w:t>11/1/2023</w:t>
            </w:r>
          </w:p>
        </w:tc>
        <w:tc>
          <w:tcPr>
            <w:tcW w:w="103" w:type="pct"/>
            <w:vAlign w:val="center"/>
          </w:tcPr>
          <w:p w14:paraId="7E145645"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6D3E8A2D"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1347DCF5"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1,964,285.70</w:t>
            </w:r>
          </w:p>
        </w:tc>
        <w:tc>
          <w:tcPr>
            <w:tcW w:w="206" w:type="pct"/>
            <w:vAlign w:val="center"/>
          </w:tcPr>
          <w:p w14:paraId="46F4592D"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270DF9B4"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5E312683"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1E9F4B4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32,292.86</w:t>
            </w:r>
          </w:p>
        </w:tc>
        <w:tc>
          <w:tcPr>
            <w:tcW w:w="219" w:type="pct"/>
            <w:vAlign w:val="center"/>
          </w:tcPr>
          <w:p w14:paraId="6018AF66"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2E0DC182"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425,150.00</w:t>
            </w:r>
          </w:p>
        </w:tc>
      </w:tr>
      <w:tr w:rsidR="00124F9A" w:rsidRPr="00FE3216" w14:paraId="06CE1BB3" w14:textId="77777777" w:rsidTr="00790F6F">
        <w:trPr>
          <w:trHeight w:val="301"/>
        </w:trPr>
        <w:tc>
          <w:tcPr>
            <w:tcW w:w="668" w:type="pct"/>
            <w:vAlign w:val="center"/>
          </w:tcPr>
          <w:p w14:paraId="115F8BBB" w14:textId="77777777" w:rsidR="00124F9A" w:rsidRPr="00FE3216" w:rsidRDefault="00FE3216" w:rsidP="00790F6F">
            <w:pPr>
              <w:tabs>
                <w:tab w:val="left" w:pos="180"/>
              </w:tabs>
              <w:spacing w:line="276" w:lineRule="auto"/>
              <w:jc w:val="center"/>
              <w:rPr>
                <w:rFonts w:ascii="Century Gothic" w:eastAsia="Times New Roman" w:hAnsi="Century Gothic"/>
                <w:w w:val="97"/>
              </w:rPr>
            </w:pPr>
            <w:r w:rsidRPr="00FE3216">
              <w:rPr>
                <w:rFonts w:ascii="Century Gothic" w:eastAsia="Times New Roman" w:hAnsi="Century Gothic"/>
                <w:w w:val="97"/>
              </w:rPr>
              <w:t>5/1/2024</w:t>
            </w:r>
          </w:p>
        </w:tc>
        <w:tc>
          <w:tcPr>
            <w:tcW w:w="103" w:type="pct"/>
            <w:vAlign w:val="center"/>
          </w:tcPr>
          <w:p w14:paraId="19804081"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683757D9"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2E320882"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1,571,428.56</w:t>
            </w:r>
          </w:p>
        </w:tc>
        <w:tc>
          <w:tcPr>
            <w:tcW w:w="206" w:type="pct"/>
            <w:vAlign w:val="center"/>
          </w:tcPr>
          <w:p w14:paraId="507D338D"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6E2F7745"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2DFF841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3E7BEB55"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26,910.71</w:t>
            </w:r>
          </w:p>
        </w:tc>
        <w:tc>
          <w:tcPr>
            <w:tcW w:w="219" w:type="pct"/>
            <w:vAlign w:val="center"/>
          </w:tcPr>
          <w:p w14:paraId="32FFE875"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1E859C69"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419,767.85</w:t>
            </w:r>
          </w:p>
        </w:tc>
      </w:tr>
      <w:tr w:rsidR="00124F9A" w:rsidRPr="00FE3216" w14:paraId="22B3C3F1" w14:textId="77777777" w:rsidTr="00790F6F">
        <w:trPr>
          <w:trHeight w:val="279"/>
        </w:trPr>
        <w:tc>
          <w:tcPr>
            <w:tcW w:w="668" w:type="pct"/>
            <w:vAlign w:val="center"/>
          </w:tcPr>
          <w:p w14:paraId="2C09544E" w14:textId="77777777" w:rsidR="00124F9A" w:rsidRPr="00FE3216" w:rsidRDefault="00FE3216" w:rsidP="00790F6F">
            <w:pPr>
              <w:tabs>
                <w:tab w:val="left" w:pos="180"/>
              </w:tabs>
              <w:spacing w:line="276" w:lineRule="auto"/>
              <w:jc w:val="center"/>
              <w:rPr>
                <w:rFonts w:ascii="Century Gothic" w:eastAsia="Times New Roman" w:hAnsi="Century Gothic"/>
                <w:w w:val="96"/>
              </w:rPr>
            </w:pPr>
            <w:r w:rsidRPr="00FE3216">
              <w:rPr>
                <w:rFonts w:ascii="Century Gothic" w:eastAsia="Times New Roman" w:hAnsi="Century Gothic"/>
                <w:w w:val="96"/>
              </w:rPr>
              <w:t>11/1/2024</w:t>
            </w:r>
          </w:p>
        </w:tc>
        <w:tc>
          <w:tcPr>
            <w:tcW w:w="103" w:type="pct"/>
            <w:vAlign w:val="center"/>
          </w:tcPr>
          <w:p w14:paraId="7CF4099A"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39214DE9"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4DB6ABF3"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1,178,571.42</w:t>
            </w:r>
          </w:p>
        </w:tc>
        <w:tc>
          <w:tcPr>
            <w:tcW w:w="206" w:type="pct"/>
            <w:vAlign w:val="center"/>
          </w:tcPr>
          <w:p w14:paraId="73EF6DFA"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435B14D1"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183A7FA7"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173FE876"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21,528.57</w:t>
            </w:r>
          </w:p>
        </w:tc>
        <w:tc>
          <w:tcPr>
            <w:tcW w:w="219" w:type="pct"/>
            <w:vAlign w:val="center"/>
          </w:tcPr>
          <w:p w14:paraId="09C5B297"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0060F56B"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414,385.71</w:t>
            </w:r>
          </w:p>
        </w:tc>
      </w:tr>
      <w:tr w:rsidR="00124F9A" w:rsidRPr="00FE3216" w14:paraId="1E5F114D" w14:textId="77777777" w:rsidTr="00790F6F">
        <w:trPr>
          <w:trHeight w:val="301"/>
        </w:trPr>
        <w:tc>
          <w:tcPr>
            <w:tcW w:w="668" w:type="pct"/>
            <w:vAlign w:val="center"/>
          </w:tcPr>
          <w:p w14:paraId="6570C59F" w14:textId="77777777" w:rsidR="00124F9A" w:rsidRPr="00FE3216" w:rsidRDefault="00FE3216" w:rsidP="00790F6F">
            <w:pPr>
              <w:tabs>
                <w:tab w:val="left" w:pos="180"/>
              </w:tabs>
              <w:spacing w:line="276" w:lineRule="auto"/>
              <w:jc w:val="center"/>
              <w:rPr>
                <w:rFonts w:ascii="Century Gothic" w:eastAsia="Times New Roman" w:hAnsi="Century Gothic"/>
                <w:w w:val="97"/>
              </w:rPr>
            </w:pPr>
            <w:r w:rsidRPr="00FE3216">
              <w:rPr>
                <w:rFonts w:ascii="Century Gothic" w:eastAsia="Times New Roman" w:hAnsi="Century Gothic"/>
                <w:w w:val="97"/>
              </w:rPr>
              <w:t>5/1/2025</w:t>
            </w:r>
          </w:p>
        </w:tc>
        <w:tc>
          <w:tcPr>
            <w:tcW w:w="103" w:type="pct"/>
            <w:vAlign w:val="center"/>
          </w:tcPr>
          <w:p w14:paraId="325A6185"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505BEF5A"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71FA26D6"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785,714.28</w:t>
            </w:r>
          </w:p>
        </w:tc>
        <w:tc>
          <w:tcPr>
            <w:tcW w:w="206" w:type="pct"/>
            <w:vAlign w:val="center"/>
          </w:tcPr>
          <w:p w14:paraId="24B0C319"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2C396A87"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31B88BB8"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0FD4E10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16,146.43</w:t>
            </w:r>
          </w:p>
        </w:tc>
        <w:tc>
          <w:tcPr>
            <w:tcW w:w="219" w:type="pct"/>
            <w:vAlign w:val="center"/>
          </w:tcPr>
          <w:p w14:paraId="74CA3C9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0D840FC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409,003.57</w:t>
            </w:r>
          </w:p>
        </w:tc>
      </w:tr>
      <w:tr w:rsidR="00124F9A" w:rsidRPr="00FE3216" w14:paraId="230511EB" w14:textId="77777777" w:rsidTr="00790F6F">
        <w:trPr>
          <w:trHeight w:val="279"/>
        </w:trPr>
        <w:tc>
          <w:tcPr>
            <w:tcW w:w="668" w:type="pct"/>
            <w:vAlign w:val="center"/>
          </w:tcPr>
          <w:p w14:paraId="40278B0B" w14:textId="77777777" w:rsidR="00124F9A" w:rsidRPr="00FE3216" w:rsidRDefault="00FE3216" w:rsidP="00790F6F">
            <w:pPr>
              <w:tabs>
                <w:tab w:val="left" w:pos="180"/>
              </w:tabs>
              <w:spacing w:line="276" w:lineRule="auto"/>
              <w:jc w:val="center"/>
              <w:rPr>
                <w:rFonts w:ascii="Century Gothic" w:eastAsia="Times New Roman" w:hAnsi="Century Gothic"/>
                <w:w w:val="96"/>
              </w:rPr>
            </w:pPr>
            <w:r w:rsidRPr="00FE3216">
              <w:rPr>
                <w:rFonts w:ascii="Century Gothic" w:eastAsia="Times New Roman" w:hAnsi="Century Gothic"/>
                <w:w w:val="96"/>
              </w:rPr>
              <w:t>11/1/2025</w:t>
            </w:r>
          </w:p>
        </w:tc>
        <w:tc>
          <w:tcPr>
            <w:tcW w:w="103" w:type="pct"/>
            <w:vAlign w:val="center"/>
          </w:tcPr>
          <w:p w14:paraId="480DF731"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5AD0F69B"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1D91700D"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6F847118"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46F3A5C5"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0C2B60BE"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772B1B42"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10,764.29</w:t>
            </w:r>
          </w:p>
        </w:tc>
        <w:tc>
          <w:tcPr>
            <w:tcW w:w="219" w:type="pct"/>
            <w:vAlign w:val="center"/>
          </w:tcPr>
          <w:p w14:paraId="4BC1A2B2"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5E8B59E8"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403,621.43</w:t>
            </w:r>
          </w:p>
        </w:tc>
      </w:tr>
      <w:tr w:rsidR="00124F9A" w:rsidRPr="00FE3216" w14:paraId="1B51A13B" w14:textId="77777777" w:rsidTr="00790F6F">
        <w:trPr>
          <w:trHeight w:val="341"/>
        </w:trPr>
        <w:tc>
          <w:tcPr>
            <w:tcW w:w="668" w:type="pct"/>
            <w:vAlign w:val="center"/>
          </w:tcPr>
          <w:p w14:paraId="148D28C9" w14:textId="77777777" w:rsidR="00124F9A" w:rsidRPr="00FE3216" w:rsidRDefault="00FE3216" w:rsidP="00790F6F">
            <w:pPr>
              <w:tabs>
                <w:tab w:val="left" w:pos="180"/>
              </w:tabs>
              <w:spacing w:line="276" w:lineRule="auto"/>
              <w:jc w:val="center"/>
              <w:rPr>
                <w:rFonts w:ascii="Century Gothic" w:eastAsia="Times New Roman" w:hAnsi="Century Gothic"/>
                <w:w w:val="97"/>
              </w:rPr>
            </w:pPr>
            <w:r w:rsidRPr="00FE3216">
              <w:rPr>
                <w:rFonts w:ascii="Century Gothic" w:eastAsia="Times New Roman" w:hAnsi="Century Gothic"/>
                <w:w w:val="97"/>
              </w:rPr>
              <w:t>5/1/2026</w:t>
            </w:r>
          </w:p>
        </w:tc>
        <w:tc>
          <w:tcPr>
            <w:tcW w:w="103" w:type="pct"/>
            <w:vAlign w:val="center"/>
          </w:tcPr>
          <w:p w14:paraId="06625448"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206" w:type="pct"/>
            <w:vAlign w:val="center"/>
          </w:tcPr>
          <w:p w14:paraId="0547F68C"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34CA08AA"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(0.00)</w:t>
            </w:r>
          </w:p>
        </w:tc>
        <w:tc>
          <w:tcPr>
            <w:tcW w:w="206" w:type="pct"/>
            <w:vAlign w:val="center"/>
          </w:tcPr>
          <w:p w14:paraId="45BB3740"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3A4375C1"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392,857.14</w:t>
            </w:r>
          </w:p>
        </w:tc>
        <w:tc>
          <w:tcPr>
            <w:tcW w:w="206" w:type="pct"/>
            <w:vAlign w:val="center"/>
          </w:tcPr>
          <w:p w14:paraId="49094F58"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0535C1D5"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5,382.14</w:t>
            </w:r>
          </w:p>
        </w:tc>
        <w:tc>
          <w:tcPr>
            <w:tcW w:w="219" w:type="pct"/>
            <w:vAlign w:val="center"/>
          </w:tcPr>
          <w:p w14:paraId="7A59BA34"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5F495513"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398,239.28</w:t>
            </w:r>
          </w:p>
        </w:tc>
      </w:tr>
      <w:tr w:rsidR="00124F9A" w:rsidRPr="00FE3216" w14:paraId="20E20E06" w14:textId="77777777" w:rsidTr="00790F6F">
        <w:trPr>
          <w:trHeight w:val="285"/>
        </w:trPr>
        <w:tc>
          <w:tcPr>
            <w:tcW w:w="668" w:type="pct"/>
            <w:vAlign w:val="center"/>
          </w:tcPr>
          <w:p w14:paraId="25A31A6B" w14:textId="77777777" w:rsidR="00124F9A" w:rsidRPr="00FE3216" w:rsidRDefault="00124F9A" w:rsidP="00790F6F">
            <w:pPr>
              <w:tabs>
                <w:tab w:val="left" w:pos="180"/>
              </w:tabs>
              <w:spacing w:line="276" w:lineRule="auto"/>
              <w:jc w:val="center"/>
              <w:rPr>
                <w:rFonts w:ascii="Century Gothic" w:eastAsia="Times New Roman" w:hAnsi="Century Gothic"/>
              </w:rPr>
            </w:pPr>
          </w:p>
        </w:tc>
        <w:tc>
          <w:tcPr>
            <w:tcW w:w="1157" w:type="pct"/>
            <w:gridSpan w:val="3"/>
            <w:vAlign w:val="center"/>
          </w:tcPr>
          <w:p w14:paraId="7D39475F" w14:textId="77777777" w:rsidR="00124F9A" w:rsidRPr="00FE3216" w:rsidRDefault="00FE3216" w:rsidP="00790F6F">
            <w:pPr>
              <w:tabs>
                <w:tab w:val="left" w:pos="180"/>
              </w:tabs>
              <w:spacing w:line="276" w:lineRule="auto"/>
              <w:jc w:val="center"/>
              <w:rPr>
                <w:rFonts w:ascii="Century Gothic" w:eastAsia="Times New Roman" w:hAnsi="Century Gothic"/>
                <w:w w:val="99"/>
              </w:rPr>
            </w:pPr>
            <w:r w:rsidRPr="00FE3216">
              <w:rPr>
                <w:rFonts w:ascii="Century Gothic" w:eastAsia="Times New Roman" w:hAnsi="Century Gothic"/>
                <w:w w:val="99"/>
              </w:rPr>
              <w:t>TOTAL</w:t>
            </w:r>
          </w:p>
        </w:tc>
        <w:tc>
          <w:tcPr>
            <w:tcW w:w="206" w:type="pct"/>
            <w:vAlign w:val="center"/>
          </w:tcPr>
          <w:p w14:paraId="1973F2D0"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61" w:type="pct"/>
            <w:vAlign w:val="center"/>
          </w:tcPr>
          <w:p w14:paraId="1036CD3D"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5,500,000.00</w:t>
            </w:r>
          </w:p>
        </w:tc>
        <w:tc>
          <w:tcPr>
            <w:tcW w:w="206" w:type="pct"/>
            <w:vAlign w:val="center"/>
          </w:tcPr>
          <w:p w14:paraId="216C4F11"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48" w:type="pct"/>
            <w:vAlign w:val="center"/>
          </w:tcPr>
          <w:p w14:paraId="5321F19A"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565,543.61</w:t>
            </w:r>
          </w:p>
        </w:tc>
        <w:tc>
          <w:tcPr>
            <w:tcW w:w="219" w:type="pct"/>
            <w:vAlign w:val="center"/>
          </w:tcPr>
          <w:p w14:paraId="583E8426"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w:t>
            </w:r>
          </w:p>
        </w:tc>
        <w:tc>
          <w:tcPr>
            <w:tcW w:w="835" w:type="pct"/>
            <w:vAlign w:val="center"/>
          </w:tcPr>
          <w:p w14:paraId="71609286" w14:textId="77777777" w:rsidR="00124F9A" w:rsidRPr="00FE3216" w:rsidRDefault="00FE3216" w:rsidP="00790F6F">
            <w:pPr>
              <w:tabs>
                <w:tab w:val="left" w:pos="180"/>
              </w:tabs>
              <w:spacing w:line="276" w:lineRule="auto"/>
              <w:jc w:val="center"/>
              <w:rPr>
                <w:rFonts w:ascii="Century Gothic" w:eastAsia="Times New Roman" w:hAnsi="Century Gothic"/>
              </w:rPr>
            </w:pPr>
            <w:r w:rsidRPr="00FE3216">
              <w:rPr>
                <w:rFonts w:ascii="Century Gothic" w:eastAsia="Times New Roman" w:hAnsi="Century Gothic"/>
              </w:rPr>
              <w:t>6,065,543.61</w:t>
            </w:r>
          </w:p>
        </w:tc>
      </w:tr>
    </w:tbl>
    <w:p w14:paraId="1B40D306" w14:textId="77777777" w:rsidR="00124F9A" w:rsidRPr="00FE3216" w:rsidRDefault="00124F9A" w:rsidP="00790F6F">
      <w:pPr>
        <w:tabs>
          <w:tab w:val="left" w:pos="180"/>
        </w:tabs>
        <w:spacing w:line="276" w:lineRule="auto"/>
        <w:rPr>
          <w:rFonts w:ascii="Century Gothic" w:eastAsia="Times New Roman" w:hAnsi="Century Gothic"/>
        </w:rPr>
      </w:pPr>
    </w:p>
    <w:p w14:paraId="20EC54AA" w14:textId="77777777" w:rsidR="00124F9A" w:rsidRPr="00FE3216" w:rsidRDefault="00124F9A" w:rsidP="00790F6F">
      <w:pPr>
        <w:tabs>
          <w:tab w:val="left" w:pos="180"/>
        </w:tabs>
        <w:spacing w:line="276" w:lineRule="auto"/>
        <w:rPr>
          <w:rFonts w:ascii="Century Gothic" w:eastAsia="Times New Roman" w:hAnsi="Century Gothic"/>
        </w:rPr>
        <w:sectPr w:rsidR="00124F9A" w:rsidRPr="00FE3216" w:rsidSect="00790F6F">
          <w:pgSz w:w="12240" w:h="15840"/>
          <w:pgMar w:top="1440" w:right="1080" w:bottom="1440" w:left="1080" w:header="0" w:footer="720" w:gutter="0"/>
          <w:cols w:space="0" w:equalWidth="0">
            <w:col w:w="9720"/>
          </w:cols>
          <w:docGrid w:linePitch="360"/>
        </w:sectPr>
      </w:pPr>
    </w:p>
    <w:p w14:paraId="2578BC2D" w14:textId="77777777" w:rsidR="00124F9A" w:rsidRPr="00FE3216" w:rsidRDefault="00124F9A" w:rsidP="00790F6F">
      <w:pPr>
        <w:tabs>
          <w:tab w:val="left" w:pos="180"/>
        </w:tabs>
        <w:spacing w:line="276" w:lineRule="auto"/>
        <w:rPr>
          <w:rFonts w:ascii="Century Gothic" w:eastAsia="Times New Roman" w:hAnsi="Century Gothic"/>
        </w:rPr>
      </w:pPr>
    </w:p>
    <w:p w14:paraId="23D7C997" w14:textId="77777777" w:rsidR="00124F9A" w:rsidRPr="00FE3216" w:rsidRDefault="00124F9A" w:rsidP="00790F6F">
      <w:pPr>
        <w:tabs>
          <w:tab w:val="left" w:pos="180"/>
        </w:tabs>
        <w:spacing w:line="276" w:lineRule="auto"/>
        <w:rPr>
          <w:rFonts w:ascii="Century Gothic" w:eastAsia="Times New Roman" w:hAnsi="Century Gothic"/>
        </w:rPr>
      </w:pPr>
    </w:p>
    <w:p w14:paraId="285D6506" w14:textId="77777777" w:rsidR="00124F9A" w:rsidRPr="00FE3216" w:rsidRDefault="00124F9A" w:rsidP="00790F6F">
      <w:pPr>
        <w:tabs>
          <w:tab w:val="left" w:pos="180"/>
        </w:tabs>
        <w:spacing w:line="276" w:lineRule="auto"/>
        <w:rPr>
          <w:rFonts w:ascii="Century Gothic" w:eastAsia="Times New Roman" w:hAnsi="Century Gothic"/>
        </w:rPr>
      </w:pPr>
    </w:p>
    <w:p w14:paraId="21F94F61" w14:textId="77777777" w:rsidR="00124F9A" w:rsidRPr="00FE3216" w:rsidRDefault="00124F9A" w:rsidP="00790F6F">
      <w:pPr>
        <w:tabs>
          <w:tab w:val="left" w:pos="180"/>
        </w:tabs>
        <w:spacing w:line="276" w:lineRule="auto"/>
        <w:rPr>
          <w:rFonts w:ascii="Century Gothic" w:eastAsia="Times New Roman" w:hAnsi="Century Gothic"/>
        </w:rPr>
      </w:pPr>
    </w:p>
    <w:sectPr w:rsidR="00124F9A" w:rsidRPr="00FE3216" w:rsidSect="00FE3216">
      <w:type w:val="continuous"/>
      <w:pgSz w:w="12240" w:h="15840"/>
      <w:pgMar w:top="1440" w:right="1080" w:bottom="1440" w:left="1080" w:header="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EFE57" w14:textId="77777777" w:rsidR="00790F6F" w:rsidRDefault="00790F6F" w:rsidP="00790F6F">
      <w:r>
        <w:separator/>
      </w:r>
    </w:p>
  </w:endnote>
  <w:endnote w:type="continuationSeparator" w:id="0">
    <w:p w14:paraId="6907608A" w14:textId="77777777" w:rsidR="00790F6F" w:rsidRDefault="00790F6F" w:rsidP="0079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39603448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2ED9335" w14:textId="18C01AF1" w:rsidR="00790F6F" w:rsidRPr="00790F6F" w:rsidRDefault="00790F6F" w:rsidP="00790F6F">
            <w:pPr>
              <w:pStyle w:val="Footer"/>
              <w:jc w:val="right"/>
              <w:rPr>
                <w:rFonts w:ascii="Century Gothic" w:hAnsi="Century Gothic"/>
                <w:sz w:val="16"/>
                <w:szCs w:val="16"/>
              </w:rPr>
            </w:pPr>
            <w:r w:rsidRPr="00790F6F">
              <w:rPr>
                <w:rFonts w:ascii="Century Gothic" w:hAnsi="Century Gothic"/>
                <w:sz w:val="16"/>
                <w:szCs w:val="16"/>
              </w:rPr>
              <w:t xml:space="preserve">Page </w:t>
            </w:r>
            <w:r w:rsidRPr="00790F6F">
              <w:rPr>
                <w:rFonts w:ascii="Century Gothic" w:hAnsi="Century Gothic"/>
                <w:b/>
                <w:bCs/>
                <w:sz w:val="16"/>
                <w:szCs w:val="16"/>
              </w:rPr>
              <w:fldChar w:fldCharType="begin"/>
            </w:r>
            <w:r w:rsidRPr="00790F6F">
              <w:rPr>
                <w:rFonts w:ascii="Century Gothic" w:hAnsi="Century Gothic"/>
                <w:b/>
                <w:bCs/>
                <w:sz w:val="16"/>
                <w:szCs w:val="16"/>
              </w:rPr>
              <w:instrText xml:space="preserve"> PAGE </w:instrText>
            </w:r>
            <w:r w:rsidRPr="00790F6F">
              <w:rPr>
                <w:rFonts w:ascii="Century Gothic" w:hAnsi="Century Gothic"/>
                <w:b/>
                <w:bCs/>
                <w:sz w:val="16"/>
                <w:szCs w:val="16"/>
              </w:rPr>
              <w:fldChar w:fldCharType="separate"/>
            </w:r>
            <w:r w:rsidRPr="00790F6F">
              <w:rPr>
                <w:rFonts w:ascii="Century Gothic" w:hAnsi="Century Gothic"/>
                <w:b/>
                <w:bCs/>
                <w:noProof/>
                <w:sz w:val="16"/>
                <w:szCs w:val="16"/>
              </w:rPr>
              <w:t>2</w:t>
            </w:r>
            <w:r w:rsidRPr="00790F6F">
              <w:rPr>
                <w:rFonts w:ascii="Century Gothic" w:hAnsi="Century Gothic"/>
                <w:b/>
                <w:bCs/>
                <w:sz w:val="16"/>
                <w:szCs w:val="16"/>
              </w:rPr>
              <w:fldChar w:fldCharType="end"/>
            </w:r>
            <w:r w:rsidRPr="00790F6F">
              <w:rPr>
                <w:rFonts w:ascii="Century Gothic" w:hAnsi="Century Gothic"/>
                <w:sz w:val="16"/>
                <w:szCs w:val="16"/>
              </w:rPr>
              <w:t xml:space="preserve"> of </w:t>
            </w:r>
            <w:r w:rsidRPr="00790F6F">
              <w:rPr>
                <w:rFonts w:ascii="Century Gothic" w:hAnsi="Century Gothic"/>
                <w:b/>
                <w:bCs/>
                <w:sz w:val="16"/>
                <w:szCs w:val="16"/>
              </w:rPr>
              <w:fldChar w:fldCharType="begin"/>
            </w:r>
            <w:r w:rsidRPr="00790F6F">
              <w:rPr>
                <w:rFonts w:ascii="Century Gothic" w:hAnsi="Century Gothic"/>
                <w:b/>
                <w:bCs/>
                <w:sz w:val="16"/>
                <w:szCs w:val="16"/>
              </w:rPr>
              <w:instrText xml:space="preserve"> NUMPAGES  </w:instrText>
            </w:r>
            <w:r w:rsidRPr="00790F6F">
              <w:rPr>
                <w:rFonts w:ascii="Century Gothic" w:hAnsi="Century Gothic"/>
                <w:b/>
                <w:bCs/>
                <w:sz w:val="16"/>
                <w:szCs w:val="16"/>
              </w:rPr>
              <w:fldChar w:fldCharType="separate"/>
            </w:r>
            <w:r w:rsidRPr="00790F6F">
              <w:rPr>
                <w:rFonts w:ascii="Century Gothic" w:hAnsi="Century Gothic"/>
                <w:b/>
                <w:bCs/>
                <w:noProof/>
                <w:sz w:val="16"/>
                <w:szCs w:val="16"/>
              </w:rPr>
              <w:t>2</w:t>
            </w:r>
            <w:r w:rsidRPr="00790F6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3258" w14:textId="77777777" w:rsidR="00790F6F" w:rsidRDefault="00790F6F" w:rsidP="00790F6F">
      <w:r>
        <w:separator/>
      </w:r>
    </w:p>
  </w:footnote>
  <w:footnote w:type="continuationSeparator" w:id="0">
    <w:p w14:paraId="43E2DC43" w14:textId="77777777" w:rsidR="00790F6F" w:rsidRDefault="00790F6F" w:rsidP="0079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C36CA1F8">
      <w:start w:val="919"/>
      <w:numFmt w:val="decimal"/>
      <w:lvlText w:val="(%1)"/>
      <w:lvlJc w:val="left"/>
    </w:lvl>
    <w:lvl w:ilvl="1" w:tplc="4DC87318">
      <w:start w:val="1"/>
      <w:numFmt w:val="bullet"/>
      <w:lvlText w:val=""/>
      <w:lvlJc w:val="left"/>
    </w:lvl>
    <w:lvl w:ilvl="2" w:tplc="EA2C21FA">
      <w:start w:val="1"/>
      <w:numFmt w:val="bullet"/>
      <w:lvlText w:val=""/>
      <w:lvlJc w:val="left"/>
    </w:lvl>
    <w:lvl w:ilvl="3" w:tplc="CC62415A">
      <w:start w:val="1"/>
      <w:numFmt w:val="bullet"/>
      <w:lvlText w:val=""/>
      <w:lvlJc w:val="left"/>
    </w:lvl>
    <w:lvl w:ilvl="4" w:tplc="8E5E3A32">
      <w:start w:val="1"/>
      <w:numFmt w:val="bullet"/>
      <w:lvlText w:val=""/>
      <w:lvlJc w:val="left"/>
    </w:lvl>
    <w:lvl w:ilvl="5" w:tplc="0A62CEC0">
      <w:start w:val="1"/>
      <w:numFmt w:val="bullet"/>
      <w:lvlText w:val=""/>
      <w:lvlJc w:val="left"/>
    </w:lvl>
    <w:lvl w:ilvl="6" w:tplc="49A2428A">
      <w:start w:val="1"/>
      <w:numFmt w:val="bullet"/>
      <w:lvlText w:val=""/>
      <w:lvlJc w:val="left"/>
    </w:lvl>
    <w:lvl w:ilvl="7" w:tplc="00BCA816">
      <w:start w:val="1"/>
      <w:numFmt w:val="bullet"/>
      <w:lvlText w:val=""/>
      <w:lvlJc w:val="left"/>
    </w:lvl>
    <w:lvl w:ilvl="8" w:tplc="DAA0D8FA">
      <w:start w:val="1"/>
      <w:numFmt w:val="bullet"/>
      <w:lvlText w:val=""/>
      <w:lvlJc w:val="left"/>
    </w:lvl>
  </w:abstractNum>
  <w:abstractNum w:abstractNumId="1" w15:restartNumberingAfterBreak="0">
    <w:nsid w:val="00000002"/>
    <w:multiLevelType w:val="hybridMultilevel"/>
    <w:tmpl w:val="19495CFE"/>
    <w:lvl w:ilvl="0" w:tplc="84F087EA">
      <w:start w:val="2"/>
      <w:numFmt w:val="lowerRoman"/>
      <w:lvlText w:val="(%1)"/>
      <w:lvlJc w:val="left"/>
    </w:lvl>
    <w:lvl w:ilvl="1" w:tplc="B8787400">
      <w:start w:val="1"/>
      <w:numFmt w:val="bullet"/>
      <w:lvlText w:val=""/>
      <w:lvlJc w:val="left"/>
    </w:lvl>
    <w:lvl w:ilvl="2" w:tplc="8892EE50">
      <w:start w:val="1"/>
      <w:numFmt w:val="bullet"/>
      <w:lvlText w:val=""/>
      <w:lvlJc w:val="left"/>
    </w:lvl>
    <w:lvl w:ilvl="3" w:tplc="F72A9804">
      <w:start w:val="1"/>
      <w:numFmt w:val="bullet"/>
      <w:lvlText w:val=""/>
      <w:lvlJc w:val="left"/>
    </w:lvl>
    <w:lvl w:ilvl="4" w:tplc="5B145FC4">
      <w:start w:val="1"/>
      <w:numFmt w:val="bullet"/>
      <w:lvlText w:val=""/>
      <w:lvlJc w:val="left"/>
    </w:lvl>
    <w:lvl w:ilvl="5" w:tplc="5BDA48BA">
      <w:start w:val="1"/>
      <w:numFmt w:val="bullet"/>
      <w:lvlText w:val=""/>
      <w:lvlJc w:val="left"/>
    </w:lvl>
    <w:lvl w:ilvl="6" w:tplc="84182B5A">
      <w:start w:val="1"/>
      <w:numFmt w:val="bullet"/>
      <w:lvlText w:val=""/>
      <w:lvlJc w:val="left"/>
    </w:lvl>
    <w:lvl w:ilvl="7" w:tplc="A9362244">
      <w:start w:val="1"/>
      <w:numFmt w:val="bullet"/>
      <w:lvlText w:val=""/>
      <w:lvlJc w:val="left"/>
    </w:lvl>
    <w:lvl w:ilvl="8" w:tplc="F5E2646C">
      <w:start w:val="1"/>
      <w:numFmt w:val="bullet"/>
      <w:lvlText w:val=""/>
      <w:lvlJc w:val="left"/>
    </w:lvl>
  </w:abstractNum>
  <w:abstractNum w:abstractNumId="2" w15:restartNumberingAfterBreak="0">
    <w:nsid w:val="00000003"/>
    <w:multiLevelType w:val="hybridMultilevel"/>
    <w:tmpl w:val="2AE8944A"/>
    <w:lvl w:ilvl="0" w:tplc="ED94F918">
      <w:start w:val="1"/>
      <w:numFmt w:val="lowerLetter"/>
      <w:lvlText w:val="(%1)"/>
      <w:lvlJc w:val="left"/>
    </w:lvl>
    <w:lvl w:ilvl="1" w:tplc="B7860F56">
      <w:start w:val="1"/>
      <w:numFmt w:val="bullet"/>
      <w:lvlText w:val=""/>
      <w:lvlJc w:val="left"/>
    </w:lvl>
    <w:lvl w:ilvl="2" w:tplc="B03A4ED2">
      <w:start w:val="1"/>
      <w:numFmt w:val="bullet"/>
      <w:lvlText w:val=""/>
      <w:lvlJc w:val="left"/>
    </w:lvl>
    <w:lvl w:ilvl="3" w:tplc="54EC5F68">
      <w:start w:val="1"/>
      <w:numFmt w:val="bullet"/>
      <w:lvlText w:val=""/>
      <w:lvlJc w:val="left"/>
    </w:lvl>
    <w:lvl w:ilvl="4" w:tplc="8DA44480">
      <w:start w:val="1"/>
      <w:numFmt w:val="bullet"/>
      <w:lvlText w:val=""/>
      <w:lvlJc w:val="left"/>
    </w:lvl>
    <w:lvl w:ilvl="5" w:tplc="327063F0">
      <w:start w:val="1"/>
      <w:numFmt w:val="bullet"/>
      <w:lvlText w:val=""/>
      <w:lvlJc w:val="left"/>
    </w:lvl>
    <w:lvl w:ilvl="6" w:tplc="874E348E">
      <w:start w:val="1"/>
      <w:numFmt w:val="bullet"/>
      <w:lvlText w:val=""/>
      <w:lvlJc w:val="left"/>
    </w:lvl>
    <w:lvl w:ilvl="7" w:tplc="853CAE20">
      <w:start w:val="1"/>
      <w:numFmt w:val="bullet"/>
      <w:lvlText w:val=""/>
      <w:lvlJc w:val="left"/>
    </w:lvl>
    <w:lvl w:ilvl="8" w:tplc="73B2DE6C">
      <w:start w:val="1"/>
      <w:numFmt w:val="bullet"/>
      <w:lvlText w:val=""/>
      <w:lvlJc w:val="left"/>
    </w:lvl>
  </w:abstractNum>
  <w:abstractNum w:abstractNumId="3" w15:restartNumberingAfterBreak="0">
    <w:nsid w:val="00000004"/>
    <w:multiLevelType w:val="hybridMultilevel"/>
    <w:tmpl w:val="625558EC"/>
    <w:lvl w:ilvl="0" w:tplc="851A94BC">
      <w:start w:val="2"/>
      <w:numFmt w:val="lowerLetter"/>
      <w:lvlText w:val="(%1)"/>
      <w:lvlJc w:val="left"/>
    </w:lvl>
    <w:lvl w:ilvl="1" w:tplc="6C8E1AB6">
      <w:start w:val="1"/>
      <w:numFmt w:val="bullet"/>
      <w:lvlText w:val=""/>
      <w:lvlJc w:val="left"/>
    </w:lvl>
    <w:lvl w:ilvl="2" w:tplc="0A663B7A">
      <w:start w:val="1"/>
      <w:numFmt w:val="bullet"/>
      <w:lvlText w:val=""/>
      <w:lvlJc w:val="left"/>
    </w:lvl>
    <w:lvl w:ilvl="3" w:tplc="124C2F9C">
      <w:start w:val="1"/>
      <w:numFmt w:val="bullet"/>
      <w:lvlText w:val=""/>
      <w:lvlJc w:val="left"/>
    </w:lvl>
    <w:lvl w:ilvl="4" w:tplc="D1D68326">
      <w:start w:val="1"/>
      <w:numFmt w:val="bullet"/>
      <w:lvlText w:val=""/>
      <w:lvlJc w:val="left"/>
    </w:lvl>
    <w:lvl w:ilvl="5" w:tplc="AAD05B36">
      <w:start w:val="1"/>
      <w:numFmt w:val="bullet"/>
      <w:lvlText w:val=""/>
      <w:lvlJc w:val="left"/>
    </w:lvl>
    <w:lvl w:ilvl="6" w:tplc="8E2A7168">
      <w:start w:val="1"/>
      <w:numFmt w:val="bullet"/>
      <w:lvlText w:val=""/>
      <w:lvlJc w:val="left"/>
    </w:lvl>
    <w:lvl w:ilvl="7" w:tplc="1CFE9964">
      <w:start w:val="1"/>
      <w:numFmt w:val="bullet"/>
      <w:lvlText w:val=""/>
      <w:lvlJc w:val="left"/>
    </w:lvl>
    <w:lvl w:ilvl="8" w:tplc="3186463C">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A0"/>
    <w:rsid w:val="00124F9A"/>
    <w:rsid w:val="00790F6F"/>
    <w:rsid w:val="009245A0"/>
    <w:rsid w:val="00FE3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D240B"/>
  <w15:chartTrackingRefBased/>
  <w15:docId w15:val="{5724003B-C682-491A-B93A-2CEC7F39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E32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style>
  <w:style w:type="paragraph" w:styleId="Header">
    <w:name w:val="header"/>
    <w:basedOn w:val="Normal"/>
    <w:link w:val="HeaderChar"/>
    <w:uiPriority w:val="99"/>
    <w:unhideWhenUsed/>
    <w:rsid w:val="00790F6F"/>
    <w:pPr>
      <w:tabs>
        <w:tab w:val="center" w:pos="4680"/>
        <w:tab w:val="right" w:pos="9360"/>
      </w:tabs>
    </w:pPr>
  </w:style>
  <w:style w:type="character" w:customStyle="1" w:styleId="HeaderChar">
    <w:name w:val="Header Char"/>
    <w:basedOn w:val="DefaultParagraphFont"/>
    <w:link w:val="Header"/>
    <w:uiPriority w:val="99"/>
    <w:rsid w:val="00790F6F"/>
  </w:style>
  <w:style w:type="paragraph" w:styleId="Footer">
    <w:name w:val="footer"/>
    <w:basedOn w:val="Normal"/>
    <w:link w:val="FooterChar"/>
    <w:uiPriority w:val="99"/>
    <w:unhideWhenUsed/>
    <w:rsid w:val="00790F6F"/>
    <w:pPr>
      <w:tabs>
        <w:tab w:val="center" w:pos="4680"/>
        <w:tab w:val="right" w:pos="9360"/>
      </w:tabs>
    </w:pPr>
  </w:style>
  <w:style w:type="character" w:customStyle="1" w:styleId="FooterChar">
    <w:name w:val="Footer Char"/>
    <w:basedOn w:val="DefaultParagraphFont"/>
    <w:link w:val="Footer"/>
    <w:uiPriority w:val="99"/>
    <w:rsid w:val="0079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E054-1814-46E5-B9D8-FB0B916C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1180</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3</cp:revision>
  <dcterms:created xsi:type="dcterms:W3CDTF">2022-08-08T20:57:00Z</dcterms:created>
  <dcterms:modified xsi:type="dcterms:W3CDTF">2022-08-23T21:00:00Z</dcterms:modified>
</cp:coreProperties>
</file>